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B0073" w14:textId="5AC6A5E8" w:rsidR="004712E8" w:rsidRPr="00B7770B" w:rsidRDefault="0029626F" w:rsidP="004712E8">
      <w:pPr>
        <w:shd w:val="clear" w:color="auto" w:fill="FFFFFF"/>
        <w:spacing w:line="336" w:lineRule="auto"/>
        <w:rPr>
          <w:rFonts w:cs="Arial"/>
          <w:sz w:val="22"/>
          <w:szCs w:val="22"/>
          <w:lang w:val="en-US"/>
        </w:rPr>
      </w:pPr>
      <w:r>
        <w:rPr>
          <w:noProof/>
          <w:sz w:val="22"/>
          <w:szCs w:val="22"/>
          <w:lang w:val="en-US"/>
        </w:rPr>
        <w:drawing>
          <wp:anchor distT="0" distB="0" distL="114300" distR="114300" simplePos="0" relativeHeight="251658240" behindDoc="1" locked="0" layoutInCell="1" allowOverlap="1" wp14:anchorId="11D7AA19" wp14:editId="39EF289F">
            <wp:simplePos x="0" y="0"/>
            <wp:positionH relativeFrom="margin">
              <wp:posOffset>1371600</wp:posOffset>
            </wp:positionH>
            <wp:positionV relativeFrom="paragraph">
              <wp:posOffset>-495300</wp:posOffset>
            </wp:positionV>
            <wp:extent cx="1930400" cy="408940"/>
            <wp:effectExtent l="0" t="0" r="0" b="0"/>
            <wp:wrapNone/>
            <wp:docPr id="794817368" name="Image 1" descr="Une image contenant Police, Graphique, text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17368" name="Image 1" descr="Une image contenant Police, Graphique, texte, graphisme&#10;&#10;Le contenu généré par l’IA peut être incorrect."/>
                    <pic:cNvPicPr/>
                  </pic:nvPicPr>
                  <pic:blipFill>
                    <a:blip r:embed="rId11"/>
                    <a:stretch>
                      <a:fillRect/>
                    </a:stretch>
                  </pic:blipFill>
                  <pic:spPr>
                    <a:xfrm>
                      <a:off x="0" y="0"/>
                      <a:ext cx="1930400" cy="408940"/>
                    </a:xfrm>
                    <a:prstGeom prst="rect">
                      <a:avLst/>
                    </a:prstGeom>
                  </pic:spPr>
                </pic:pic>
              </a:graphicData>
            </a:graphic>
            <wp14:sizeRelH relativeFrom="margin">
              <wp14:pctWidth>0</wp14:pctWidth>
            </wp14:sizeRelH>
            <wp14:sizeRelV relativeFrom="margin">
              <wp14:pctHeight>0</wp14:pctHeight>
            </wp14:sizeRelV>
          </wp:anchor>
        </w:drawing>
      </w:r>
    </w:p>
    <w:p w14:paraId="023D33E4" w14:textId="77777777" w:rsidR="00B7770B" w:rsidRPr="00B7770B" w:rsidRDefault="00B7770B" w:rsidP="004712E8">
      <w:pPr>
        <w:shd w:val="clear" w:color="auto" w:fill="FFFFFF"/>
        <w:spacing w:line="336" w:lineRule="auto"/>
        <w:rPr>
          <w:rFonts w:cs="Arial"/>
          <w:sz w:val="22"/>
          <w:szCs w:val="22"/>
          <w:lang w:val="en-US"/>
        </w:rPr>
      </w:pPr>
    </w:p>
    <w:p w14:paraId="00FC6BE7" w14:textId="77777777" w:rsidR="00B7770B" w:rsidRPr="00B7770B" w:rsidRDefault="00B7770B" w:rsidP="004712E8">
      <w:pPr>
        <w:shd w:val="clear" w:color="auto" w:fill="FFFFFF"/>
        <w:spacing w:line="336" w:lineRule="auto"/>
        <w:rPr>
          <w:rFonts w:cs="Arial"/>
          <w:sz w:val="22"/>
          <w:szCs w:val="22"/>
          <w:lang w:val="en-US"/>
        </w:rPr>
      </w:pPr>
    </w:p>
    <w:p w14:paraId="6EC427A0" w14:textId="62851AA9" w:rsidR="00EA7FA1" w:rsidRPr="0029626F" w:rsidRDefault="0029626F" w:rsidP="377941CB">
      <w:pPr>
        <w:spacing w:line="276" w:lineRule="auto"/>
        <w:rPr>
          <w:b/>
          <w:bCs/>
          <w:sz w:val="32"/>
          <w:szCs w:val="32"/>
        </w:rPr>
      </w:pPr>
      <w:r w:rsidRPr="56C543D9">
        <w:rPr>
          <w:b/>
          <w:bCs/>
          <w:sz w:val="32"/>
          <w:szCs w:val="32"/>
        </w:rPr>
        <w:t>500. PAS-X MES-Anlage in Betrieb genommen:</w:t>
      </w:r>
      <w:r>
        <w:br/>
      </w:r>
      <w:r w:rsidRPr="56C543D9">
        <w:rPr>
          <w:b/>
          <w:bCs/>
          <w:sz w:val="32"/>
          <w:szCs w:val="32"/>
        </w:rPr>
        <w:t>CELL</w:t>
      </w:r>
      <w:r w:rsidRPr="56C543D9">
        <w:rPr>
          <w:b/>
          <w:bCs/>
          <w:i/>
          <w:iCs/>
          <w:sz w:val="32"/>
          <w:szCs w:val="32"/>
        </w:rPr>
        <w:t>for</w:t>
      </w:r>
      <w:r w:rsidRPr="56C543D9">
        <w:rPr>
          <w:b/>
          <w:bCs/>
          <w:sz w:val="32"/>
          <w:szCs w:val="32"/>
        </w:rPr>
        <w:t>CURE by SEQENS setzt auf Körber</w:t>
      </w:r>
      <w:r w:rsidR="00F62118">
        <w:rPr>
          <w:b/>
          <w:bCs/>
          <w:sz w:val="32"/>
          <w:szCs w:val="32"/>
        </w:rPr>
        <w:t xml:space="preserve"> für </w:t>
      </w:r>
      <w:r w:rsidRPr="56C543D9">
        <w:rPr>
          <w:b/>
          <w:bCs/>
          <w:sz w:val="32"/>
          <w:szCs w:val="32"/>
        </w:rPr>
        <w:t>schlanke und rechtssichere Prozesse</w:t>
      </w:r>
    </w:p>
    <w:p w14:paraId="76312A7D" w14:textId="77777777" w:rsidR="00EA7FA1" w:rsidRPr="0029626F" w:rsidRDefault="00EA7FA1" w:rsidP="00EA7FA1">
      <w:pPr>
        <w:spacing w:line="276" w:lineRule="auto"/>
        <w:rPr>
          <w:sz w:val="22"/>
          <w:szCs w:val="22"/>
        </w:rPr>
      </w:pPr>
    </w:p>
    <w:p w14:paraId="3BA1E3F9" w14:textId="5FB3D60F" w:rsidR="0029626F" w:rsidRPr="0029626F" w:rsidRDefault="00EA7FA1" w:rsidP="0029626F">
      <w:pPr>
        <w:spacing w:line="276" w:lineRule="auto"/>
        <w:rPr>
          <w:b/>
          <w:sz w:val="22"/>
          <w:szCs w:val="22"/>
        </w:rPr>
      </w:pPr>
      <w:r w:rsidRPr="0029626F">
        <w:rPr>
          <w:b/>
          <w:sz w:val="22"/>
          <w:szCs w:val="22"/>
        </w:rPr>
        <w:t xml:space="preserve">Lüneburg, </w:t>
      </w:r>
      <w:r w:rsidR="0029626F" w:rsidRPr="0029626F">
        <w:rPr>
          <w:b/>
          <w:sz w:val="22"/>
          <w:szCs w:val="22"/>
        </w:rPr>
        <w:t xml:space="preserve">21. Mai </w:t>
      </w:r>
      <w:r w:rsidR="002B4CC2" w:rsidRPr="0029626F">
        <w:rPr>
          <w:b/>
          <w:sz w:val="22"/>
          <w:szCs w:val="22"/>
        </w:rPr>
        <w:t>202</w:t>
      </w:r>
      <w:r w:rsidR="0029626F" w:rsidRPr="0029626F">
        <w:rPr>
          <w:b/>
          <w:sz w:val="22"/>
          <w:szCs w:val="22"/>
        </w:rPr>
        <w:t>5</w:t>
      </w:r>
      <w:r w:rsidRPr="0029626F">
        <w:rPr>
          <w:b/>
          <w:sz w:val="22"/>
          <w:szCs w:val="22"/>
        </w:rPr>
        <w:t xml:space="preserve">. </w:t>
      </w:r>
      <w:r w:rsidR="0029626F" w:rsidRPr="0029626F">
        <w:rPr>
          <w:b/>
          <w:sz w:val="22"/>
          <w:szCs w:val="22"/>
        </w:rPr>
        <w:t>CELL</w:t>
      </w:r>
      <w:r w:rsidR="0029626F" w:rsidRPr="0029626F">
        <w:rPr>
          <w:b/>
          <w:i/>
          <w:iCs/>
          <w:sz w:val="22"/>
          <w:szCs w:val="22"/>
        </w:rPr>
        <w:t>for</w:t>
      </w:r>
      <w:r w:rsidR="0029626F" w:rsidRPr="0029626F">
        <w:rPr>
          <w:b/>
          <w:sz w:val="22"/>
          <w:szCs w:val="22"/>
        </w:rPr>
        <w:t>CURE by SEQENS implementiert PAS-X MES 3.3 von Körber als Software</w:t>
      </w:r>
      <w:r w:rsidR="0029626F">
        <w:rPr>
          <w:b/>
          <w:sz w:val="22"/>
          <w:szCs w:val="22"/>
        </w:rPr>
        <w:t xml:space="preserve"> </w:t>
      </w:r>
      <w:r w:rsidR="0029626F" w:rsidRPr="0029626F">
        <w:rPr>
          <w:b/>
          <w:sz w:val="22"/>
          <w:szCs w:val="22"/>
        </w:rPr>
        <w:t>as</w:t>
      </w:r>
      <w:r w:rsidR="0029626F">
        <w:rPr>
          <w:b/>
          <w:sz w:val="22"/>
          <w:szCs w:val="22"/>
        </w:rPr>
        <w:t xml:space="preserve"> </w:t>
      </w:r>
      <w:r w:rsidR="0029626F" w:rsidRPr="0029626F">
        <w:rPr>
          <w:b/>
          <w:sz w:val="22"/>
          <w:szCs w:val="22"/>
        </w:rPr>
        <w:t>a</w:t>
      </w:r>
      <w:r w:rsidR="0029626F">
        <w:rPr>
          <w:b/>
          <w:sz w:val="22"/>
          <w:szCs w:val="22"/>
        </w:rPr>
        <w:t xml:space="preserve"> </w:t>
      </w:r>
      <w:r w:rsidR="0029626F" w:rsidRPr="0029626F">
        <w:rPr>
          <w:b/>
          <w:sz w:val="22"/>
          <w:szCs w:val="22"/>
        </w:rPr>
        <w:t>Service (SaaS)</w:t>
      </w:r>
      <w:r w:rsidR="0029626F">
        <w:rPr>
          <w:b/>
          <w:sz w:val="22"/>
          <w:szCs w:val="22"/>
        </w:rPr>
        <w:t xml:space="preserve"> </w:t>
      </w:r>
      <w:r w:rsidR="0029626F" w:rsidRPr="0029626F">
        <w:rPr>
          <w:b/>
          <w:sz w:val="22"/>
          <w:szCs w:val="22"/>
        </w:rPr>
        <w:t xml:space="preserve">Lösung in der AWS-Cloud an seinem Standort in Les Ulis, Frankreich. </w:t>
      </w:r>
      <w:r w:rsidR="009A5B9F">
        <w:rPr>
          <w:b/>
          <w:sz w:val="22"/>
          <w:szCs w:val="22"/>
        </w:rPr>
        <w:t xml:space="preserve">Für Körber stellt das </w:t>
      </w:r>
      <w:r w:rsidR="0029626F" w:rsidRPr="0029626F">
        <w:rPr>
          <w:b/>
          <w:sz w:val="22"/>
          <w:szCs w:val="22"/>
        </w:rPr>
        <w:t xml:space="preserve">Projekt den 500. Go-Live einer PAS-X MES-Anlage </w:t>
      </w:r>
      <w:r w:rsidR="009A5B9F">
        <w:rPr>
          <w:b/>
          <w:sz w:val="22"/>
          <w:szCs w:val="22"/>
        </w:rPr>
        <w:t>dar – ein großer Erfolg</w:t>
      </w:r>
      <w:r w:rsidR="0029626F" w:rsidRPr="0029626F">
        <w:rPr>
          <w:b/>
          <w:sz w:val="22"/>
          <w:szCs w:val="22"/>
        </w:rPr>
        <w:t>, den Vertreter von Körber und CELL</w:t>
      </w:r>
      <w:r w:rsidR="0029626F" w:rsidRPr="0029626F">
        <w:rPr>
          <w:b/>
          <w:i/>
          <w:iCs/>
          <w:sz w:val="22"/>
          <w:szCs w:val="22"/>
        </w:rPr>
        <w:t>for</w:t>
      </w:r>
      <w:r w:rsidR="0029626F" w:rsidRPr="0029626F">
        <w:rPr>
          <w:b/>
          <w:sz w:val="22"/>
          <w:szCs w:val="22"/>
        </w:rPr>
        <w:t>CURE by SEQENS auf der Software Pharma Open in Hamburg feierten.</w:t>
      </w:r>
    </w:p>
    <w:p w14:paraId="4CB39874" w14:textId="77777777" w:rsidR="0029626F" w:rsidRPr="0029626F" w:rsidRDefault="0029626F" w:rsidP="0029626F">
      <w:pPr>
        <w:spacing w:line="276" w:lineRule="auto"/>
        <w:rPr>
          <w:sz w:val="22"/>
          <w:szCs w:val="22"/>
        </w:rPr>
      </w:pPr>
    </w:p>
    <w:p w14:paraId="20EC818B" w14:textId="426E4B8B" w:rsidR="0029626F" w:rsidRPr="0029626F" w:rsidRDefault="0029626F" w:rsidP="0029626F">
      <w:pPr>
        <w:spacing w:line="276" w:lineRule="auto"/>
        <w:rPr>
          <w:sz w:val="22"/>
          <w:szCs w:val="22"/>
        </w:rPr>
      </w:pPr>
      <w:r w:rsidRPr="0029626F">
        <w:rPr>
          <w:sz w:val="22"/>
          <w:szCs w:val="22"/>
        </w:rPr>
        <w:t>CELL</w:t>
      </w:r>
      <w:r w:rsidRPr="0029626F">
        <w:rPr>
          <w:i/>
          <w:iCs/>
          <w:sz w:val="22"/>
          <w:szCs w:val="22"/>
        </w:rPr>
        <w:t>for</w:t>
      </w:r>
      <w:r w:rsidRPr="0029626F">
        <w:rPr>
          <w:sz w:val="22"/>
          <w:szCs w:val="22"/>
        </w:rPr>
        <w:t xml:space="preserve">CURE by SEQENS, ein führendes Auftragsentwicklungs- und </w:t>
      </w:r>
      <w:r w:rsidR="009A5B9F">
        <w:rPr>
          <w:sz w:val="22"/>
          <w:szCs w:val="22"/>
        </w:rPr>
        <w:t>Auftrags</w:t>
      </w:r>
      <w:r w:rsidRPr="0029626F">
        <w:rPr>
          <w:sz w:val="22"/>
          <w:szCs w:val="22"/>
        </w:rPr>
        <w:t>herstellungsunternehmen (CDMO) für Zell- und Gentherapien, hat sich für die Implementierung von PAS-X MES 3.3 von Körber als entscheidenden Bestandteil seiner Digitalisierungsstrategie für Herstellungs-, Rückverfolgungs- und Dokumentationsprozesse entschieden.</w:t>
      </w:r>
    </w:p>
    <w:p w14:paraId="13EC0E29" w14:textId="77777777" w:rsidR="0029626F" w:rsidRPr="0029626F" w:rsidRDefault="0029626F" w:rsidP="0029626F">
      <w:pPr>
        <w:spacing w:line="276" w:lineRule="auto"/>
        <w:rPr>
          <w:sz w:val="22"/>
          <w:szCs w:val="22"/>
        </w:rPr>
      </w:pPr>
    </w:p>
    <w:p w14:paraId="61E7EED1" w14:textId="2DF03908" w:rsidR="0029626F" w:rsidRPr="0029626F" w:rsidRDefault="0029626F" w:rsidP="0029626F">
      <w:pPr>
        <w:spacing w:line="276" w:lineRule="auto"/>
        <w:rPr>
          <w:sz w:val="22"/>
          <w:szCs w:val="22"/>
        </w:rPr>
      </w:pPr>
      <w:r w:rsidRPr="0029626F">
        <w:rPr>
          <w:sz w:val="22"/>
          <w:szCs w:val="22"/>
        </w:rPr>
        <w:t>Als spezialisiertes CDMO benötigte CELL</w:t>
      </w:r>
      <w:r w:rsidRPr="0029626F">
        <w:rPr>
          <w:i/>
          <w:iCs/>
          <w:sz w:val="22"/>
          <w:szCs w:val="22"/>
        </w:rPr>
        <w:t>for</w:t>
      </w:r>
      <w:r w:rsidRPr="0029626F">
        <w:rPr>
          <w:sz w:val="22"/>
          <w:szCs w:val="22"/>
        </w:rPr>
        <w:t>CURE by SEQENS eine digitale Lösung, um einen nahtlosen Technologietransfer und eine Prozessvalidierung für seine Kunden zu gewährleisten, die die klinische und kommerzielle Versorgung unterstützt</w:t>
      </w:r>
      <w:r w:rsidR="009A5B9F">
        <w:rPr>
          <w:sz w:val="22"/>
          <w:szCs w:val="22"/>
        </w:rPr>
        <w:t xml:space="preserve">. Das System sollte außerdem den </w:t>
      </w:r>
      <w:r w:rsidRPr="0029626F">
        <w:rPr>
          <w:sz w:val="22"/>
          <w:szCs w:val="22"/>
        </w:rPr>
        <w:t>effiziente</w:t>
      </w:r>
      <w:r w:rsidR="009A5B9F">
        <w:rPr>
          <w:sz w:val="22"/>
          <w:szCs w:val="22"/>
        </w:rPr>
        <w:t xml:space="preserve">n </w:t>
      </w:r>
      <w:r w:rsidRPr="0029626F">
        <w:rPr>
          <w:sz w:val="22"/>
          <w:szCs w:val="22"/>
        </w:rPr>
        <w:t xml:space="preserve">Austausch von Chargeninformationen mit </w:t>
      </w:r>
      <w:r w:rsidR="009A5B9F">
        <w:rPr>
          <w:sz w:val="22"/>
          <w:szCs w:val="22"/>
        </w:rPr>
        <w:t xml:space="preserve">den </w:t>
      </w:r>
      <w:r w:rsidRPr="0029626F">
        <w:rPr>
          <w:sz w:val="22"/>
          <w:szCs w:val="22"/>
        </w:rPr>
        <w:t>Kunden</w:t>
      </w:r>
      <w:r w:rsidR="009A5B9F">
        <w:rPr>
          <w:sz w:val="22"/>
          <w:szCs w:val="22"/>
        </w:rPr>
        <w:t xml:space="preserve"> sicherstellen</w:t>
      </w:r>
      <w:r w:rsidRPr="0029626F">
        <w:rPr>
          <w:sz w:val="22"/>
          <w:szCs w:val="22"/>
        </w:rPr>
        <w:t>. Angesichts der hochgradig personalisierten Natur von Zell- und Gentherapien, die sich durch kleine Chargengrößen und Zeitdruck auszeichnen, war es wichtig, den Aufwand für die Handhabung und Dokumentation zu reduzieren, die Betriebskosten zu senken und eine zuverlässige IT-Unterstützung sicherzustellen.</w:t>
      </w:r>
    </w:p>
    <w:p w14:paraId="19C1C369" w14:textId="77777777" w:rsidR="0029626F" w:rsidRPr="0029626F" w:rsidRDefault="0029626F" w:rsidP="0029626F">
      <w:pPr>
        <w:spacing w:line="276" w:lineRule="auto"/>
        <w:rPr>
          <w:sz w:val="22"/>
          <w:szCs w:val="22"/>
        </w:rPr>
      </w:pPr>
    </w:p>
    <w:p w14:paraId="397253CF" w14:textId="66D6FD11" w:rsidR="0029626F" w:rsidRPr="0029626F" w:rsidRDefault="009A5B9F" w:rsidP="0029626F">
      <w:pPr>
        <w:spacing w:line="276" w:lineRule="auto"/>
        <w:rPr>
          <w:sz w:val="22"/>
          <w:szCs w:val="22"/>
        </w:rPr>
      </w:pPr>
      <w:r w:rsidRPr="56C543D9">
        <w:rPr>
          <w:sz w:val="22"/>
          <w:szCs w:val="22"/>
        </w:rPr>
        <w:t>„</w:t>
      </w:r>
      <w:r w:rsidR="0029626F" w:rsidRPr="56C543D9">
        <w:rPr>
          <w:sz w:val="22"/>
          <w:szCs w:val="22"/>
        </w:rPr>
        <w:t xml:space="preserve">Wir haben uns für PAS-X MES entschieden, weil wir glauben, dass es im Vergleich zu anderen Lösungen die beste Funktionsabdeckung in einer SaaS-Umgebung bietet. Durch die Nutzung eines MES </w:t>
      </w:r>
      <w:r w:rsidRPr="56C543D9">
        <w:rPr>
          <w:sz w:val="22"/>
          <w:szCs w:val="22"/>
        </w:rPr>
        <w:t xml:space="preserve">aaS </w:t>
      </w:r>
      <w:r w:rsidR="0029626F" w:rsidRPr="56C543D9">
        <w:rPr>
          <w:sz w:val="22"/>
          <w:szCs w:val="22"/>
        </w:rPr>
        <w:t>müssen wir die IT-Infrastruktur nicht mehr intern verwalten. Mit dieser Lösung können wir schlanke und konforme Prozesse für die Herstellung und Freigabe von Patienten</w:t>
      </w:r>
      <w:r w:rsidRPr="56C543D9">
        <w:rPr>
          <w:sz w:val="22"/>
          <w:szCs w:val="22"/>
        </w:rPr>
        <w:t xml:space="preserve">chargen gewährleisten und </w:t>
      </w:r>
      <w:r w:rsidR="0029626F" w:rsidRPr="56C543D9">
        <w:rPr>
          <w:sz w:val="22"/>
          <w:szCs w:val="22"/>
        </w:rPr>
        <w:t>werden in der Lage sein, Daten mit unseren Kunden sehr effektiv auszutauschen</w:t>
      </w:r>
      <w:r w:rsidRPr="56C543D9">
        <w:rPr>
          <w:sz w:val="22"/>
          <w:szCs w:val="22"/>
        </w:rPr>
        <w:t>“</w:t>
      </w:r>
      <w:r w:rsidR="0029626F" w:rsidRPr="56C543D9">
        <w:rPr>
          <w:sz w:val="22"/>
          <w:szCs w:val="22"/>
        </w:rPr>
        <w:t>, sagt Nathalie Lelot, Operations Head bei CELL</w:t>
      </w:r>
      <w:r w:rsidR="0029626F" w:rsidRPr="56C543D9">
        <w:rPr>
          <w:i/>
          <w:iCs/>
          <w:sz w:val="22"/>
          <w:szCs w:val="22"/>
        </w:rPr>
        <w:t>for</w:t>
      </w:r>
      <w:r w:rsidR="0029626F" w:rsidRPr="56C543D9">
        <w:rPr>
          <w:sz w:val="22"/>
          <w:szCs w:val="22"/>
        </w:rPr>
        <w:t>CURE by SEQENS.</w:t>
      </w:r>
    </w:p>
    <w:p w14:paraId="7205FCAB" w14:textId="77777777" w:rsidR="0029626F" w:rsidRPr="0029626F" w:rsidRDefault="0029626F" w:rsidP="0029626F">
      <w:pPr>
        <w:spacing w:line="276" w:lineRule="auto"/>
        <w:rPr>
          <w:sz w:val="22"/>
          <w:szCs w:val="22"/>
        </w:rPr>
      </w:pPr>
    </w:p>
    <w:p w14:paraId="60E3D78A" w14:textId="12917948" w:rsidR="00E22DEF" w:rsidRDefault="0029626F" w:rsidP="00E22DEF">
      <w:pPr>
        <w:spacing w:line="276" w:lineRule="auto"/>
        <w:rPr>
          <w:sz w:val="22"/>
          <w:szCs w:val="22"/>
        </w:rPr>
      </w:pPr>
      <w:r w:rsidRPr="56C543D9">
        <w:rPr>
          <w:sz w:val="22"/>
          <w:szCs w:val="22"/>
        </w:rPr>
        <w:t xml:space="preserve">PAS-X MES wird als Standard-SaaS-Lösung eingesetzt, die in einer AWS-Cloud-Umgebung gehostet und vollständig von Körber verwaltet wird. Es deckt die Erstellung, Ausführung und Dokumentation von Master Batch Records (MBR) ab. Das System </w:t>
      </w:r>
      <w:r w:rsidR="009A5B9F" w:rsidRPr="56C543D9">
        <w:rPr>
          <w:sz w:val="22"/>
          <w:szCs w:val="22"/>
        </w:rPr>
        <w:t xml:space="preserve">integriert </w:t>
      </w:r>
      <w:r w:rsidRPr="56C543D9">
        <w:rPr>
          <w:sz w:val="22"/>
          <w:szCs w:val="22"/>
        </w:rPr>
        <w:t xml:space="preserve">Waagen und Drucker und </w:t>
      </w:r>
      <w:r w:rsidR="00E22DEF" w:rsidRPr="56C543D9">
        <w:rPr>
          <w:sz w:val="22"/>
          <w:szCs w:val="22"/>
        </w:rPr>
        <w:t xml:space="preserve">ist </w:t>
      </w:r>
      <w:r w:rsidRPr="56C543D9">
        <w:rPr>
          <w:sz w:val="22"/>
          <w:szCs w:val="22"/>
        </w:rPr>
        <w:t>über SAP MII mit dem SAP ERP-System verbunden. Körbers PAS-X Data Access wird genutzt, um kuratierte Daten für Power-BI-Analysen bereitzustellen, die die Erstellung von KPIs und weitere Prozessoptimierung</w:t>
      </w:r>
      <w:r w:rsidR="00E22DEF" w:rsidRPr="56C543D9">
        <w:rPr>
          <w:sz w:val="22"/>
          <w:szCs w:val="22"/>
        </w:rPr>
        <w:t>en</w:t>
      </w:r>
      <w:r w:rsidRPr="56C543D9">
        <w:rPr>
          <w:sz w:val="22"/>
          <w:szCs w:val="22"/>
        </w:rPr>
        <w:t xml:space="preserve"> ermöglichen</w:t>
      </w:r>
      <w:r w:rsidR="693A1E02" w:rsidRPr="56C543D9">
        <w:rPr>
          <w:sz w:val="22"/>
          <w:szCs w:val="22"/>
        </w:rPr>
        <w:t>.</w:t>
      </w:r>
      <w:r w:rsidRPr="56C543D9">
        <w:rPr>
          <w:sz w:val="22"/>
          <w:szCs w:val="22"/>
        </w:rPr>
        <w:br w:type="page"/>
      </w:r>
    </w:p>
    <w:p w14:paraId="264C9790" w14:textId="4173FE2B" w:rsidR="00AD790A" w:rsidRDefault="00C109A2" w:rsidP="00EA7FA1">
      <w:pPr>
        <w:spacing w:line="276" w:lineRule="auto"/>
        <w:rPr>
          <w:b/>
          <w:sz w:val="22"/>
          <w:szCs w:val="22"/>
        </w:rPr>
      </w:pPr>
      <w:r>
        <w:rPr>
          <w:b/>
          <w:sz w:val="22"/>
          <w:szCs w:val="22"/>
        </w:rPr>
        <w:lastRenderedPageBreak/>
        <w:t>Foto</w:t>
      </w:r>
      <w:r w:rsidR="0029626F">
        <w:rPr>
          <w:b/>
          <w:sz w:val="22"/>
          <w:szCs w:val="22"/>
        </w:rPr>
        <w:t>s</w:t>
      </w:r>
    </w:p>
    <w:p w14:paraId="36BDB425" w14:textId="77777777" w:rsidR="0029626F" w:rsidRDefault="0029626F" w:rsidP="0029626F">
      <w:pPr>
        <w:spacing w:line="276" w:lineRule="auto"/>
        <w:rPr>
          <w:sz w:val="22"/>
          <w:szCs w:val="22"/>
          <w:lang w:val="en-US"/>
        </w:rPr>
      </w:pPr>
      <w:r>
        <w:rPr>
          <w:noProof/>
        </w:rPr>
        <w:drawing>
          <wp:inline distT="0" distB="0" distL="0" distR="0" wp14:anchorId="36DF5CE8" wp14:editId="31FC076D">
            <wp:extent cx="5759450" cy="2849245"/>
            <wp:effectExtent l="0" t="0" r="0" b="8255"/>
            <wp:docPr id="749552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2849245"/>
                    </a:xfrm>
                    <a:prstGeom prst="rect">
                      <a:avLst/>
                    </a:prstGeom>
                    <a:noFill/>
                    <a:ln>
                      <a:noFill/>
                    </a:ln>
                  </pic:spPr>
                </pic:pic>
              </a:graphicData>
            </a:graphic>
          </wp:inline>
        </w:drawing>
      </w:r>
    </w:p>
    <w:p w14:paraId="26B4CB4E" w14:textId="14C33A5E" w:rsidR="0029626F" w:rsidRDefault="0029626F" w:rsidP="0029626F">
      <w:pPr>
        <w:spacing w:line="276" w:lineRule="auto"/>
        <w:rPr>
          <w:sz w:val="22"/>
          <w:szCs w:val="22"/>
          <w:lang w:val="en-US"/>
        </w:rPr>
      </w:pPr>
      <w:r>
        <w:rPr>
          <w:sz w:val="22"/>
          <w:szCs w:val="22"/>
          <w:lang w:val="en-US"/>
        </w:rPr>
        <w:t xml:space="preserve">Standort von </w:t>
      </w:r>
      <w:r w:rsidRPr="001572D7">
        <w:rPr>
          <w:sz w:val="22"/>
          <w:szCs w:val="22"/>
          <w:lang w:val="en-US"/>
        </w:rPr>
        <w:t>CELL</w:t>
      </w:r>
      <w:r w:rsidRPr="0029626F">
        <w:rPr>
          <w:i/>
          <w:iCs/>
          <w:sz w:val="22"/>
          <w:szCs w:val="22"/>
          <w:lang w:val="en-US"/>
        </w:rPr>
        <w:t>for</w:t>
      </w:r>
      <w:r w:rsidRPr="001572D7">
        <w:rPr>
          <w:sz w:val="22"/>
          <w:szCs w:val="22"/>
          <w:lang w:val="en-US"/>
        </w:rPr>
        <w:t>CURE by SEQENS in Les Ulis, Fr</w:t>
      </w:r>
      <w:r>
        <w:rPr>
          <w:sz w:val="22"/>
          <w:szCs w:val="22"/>
          <w:lang w:val="en-US"/>
        </w:rPr>
        <w:t>ankreich</w:t>
      </w:r>
    </w:p>
    <w:p w14:paraId="00E83D57" w14:textId="77777777" w:rsidR="0029626F" w:rsidRDefault="0029626F" w:rsidP="0029626F">
      <w:pPr>
        <w:spacing w:line="276" w:lineRule="auto"/>
        <w:rPr>
          <w:sz w:val="22"/>
          <w:szCs w:val="22"/>
          <w:lang w:val="en-US"/>
        </w:rPr>
      </w:pPr>
    </w:p>
    <w:p w14:paraId="6885E973" w14:textId="77777777" w:rsidR="0029626F" w:rsidRDefault="0029626F" w:rsidP="0029626F">
      <w:pPr>
        <w:spacing w:line="276" w:lineRule="auto"/>
        <w:rPr>
          <w:sz w:val="22"/>
          <w:szCs w:val="22"/>
          <w:lang w:val="en-US"/>
        </w:rPr>
      </w:pPr>
      <w:r w:rsidRPr="003E3EDA">
        <w:rPr>
          <w:sz w:val="22"/>
          <w:szCs w:val="22"/>
          <w:lang w:val="en-US"/>
        </w:rPr>
        <w:t>Picture from award ceremony at Software Pharma Open</w:t>
      </w:r>
    </w:p>
    <w:p w14:paraId="7459DF7B" w14:textId="1CA0B5DF" w:rsidR="0029626F" w:rsidRPr="005E177D" w:rsidRDefault="0029626F" w:rsidP="0029626F">
      <w:pPr>
        <w:spacing w:line="276" w:lineRule="auto"/>
        <w:jc w:val="both"/>
        <w:rPr>
          <w:sz w:val="22"/>
          <w:szCs w:val="22"/>
          <w:lang w:val="en-US"/>
        </w:rPr>
      </w:pPr>
      <w:r>
        <w:rPr>
          <w:sz w:val="22"/>
          <w:szCs w:val="22"/>
          <w:lang w:val="en-US"/>
        </w:rPr>
        <w:t xml:space="preserve">Sebastian Bien, </w:t>
      </w:r>
      <w:r w:rsidRPr="001572D7">
        <w:rPr>
          <w:sz w:val="22"/>
          <w:szCs w:val="22"/>
          <w:lang w:val="en-US"/>
        </w:rPr>
        <w:t>V</w:t>
      </w:r>
      <w:r>
        <w:rPr>
          <w:sz w:val="22"/>
          <w:szCs w:val="22"/>
          <w:lang w:val="en-US"/>
        </w:rPr>
        <w:t xml:space="preserve">P </w:t>
      </w:r>
      <w:r w:rsidRPr="001572D7">
        <w:rPr>
          <w:sz w:val="22"/>
          <w:szCs w:val="22"/>
          <w:lang w:val="en-US"/>
        </w:rPr>
        <w:t>Sales EMEA</w:t>
      </w:r>
      <w:r>
        <w:rPr>
          <w:sz w:val="22"/>
          <w:szCs w:val="22"/>
          <w:lang w:val="en-US"/>
        </w:rPr>
        <w:t xml:space="preserve"> Software, Körber BA Pharma, und Nathalie Lelot, </w:t>
      </w:r>
      <w:r w:rsidRPr="00E71239">
        <w:rPr>
          <w:sz w:val="22"/>
          <w:szCs w:val="22"/>
          <w:lang w:val="en-US"/>
        </w:rPr>
        <w:t>Operations Head</w:t>
      </w:r>
      <w:r>
        <w:rPr>
          <w:sz w:val="22"/>
          <w:szCs w:val="22"/>
          <w:lang w:val="en-US"/>
        </w:rPr>
        <w:t xml:space="preserve">, </w:t>
      </w:r>
      <w:r w:rsidRPr="005E177D">
        <w:rPr>
          <w:sz w:val="22"/>
          <w:szCs w:val="22"/>
          <w:lang w:val="en-US"/>
        </w:rPr>
        <w:t>CELL</w:t>
      </w:r>
      <w:r w:rsidRPr="001572D7">
        <w:rPr>
          <w:sz w:val="22"/>
          <w:szCs w:val="22"/>
          <w:lang w:val="en-US"/>
        </w:rPr>
        <w:t>for</w:t>
      </w:r>
      <w:r w:rsidRPr="005E177D">
        <w:rPr>
          <w:sz w:val="22"/>
          <w:szCs w:val="22"/>
          <w:lang w:val="en-US"/>
        </w:rPr>
        <w:t>CURE</w:t>
      </w:r>
      <w:r>
        <w:rPr>
          <w:sz w:val="22"/>
          <w:szCs w:val="22"/>
          <w:lang w:val="en-US"/>
        </w:rPr>
        <w:t xml:space="preserve"> by SEQENS, </w:t>
      </w:r>
      <w:r w:rsidR="00E22DEF">
        <w:rPr>
          <w:sz w:val="22"/>
          <w:szCs w:val="22"/>
          <w:lang w:val="en-US"/>
        </w:rPr>
        <w:t xml:space="preserve">feiern </w:t>
      </w:r>
      <w:r>
        <w:rPr>
          <w:sz w:val="22"/>
          <w:szCs w:val="22"/>
          <w:lang w:val="en-US"/>
        </w:rPr>
        <w:t xml:space="preserve">den </w:t>
      </w:r>
      <w:r w:rsidRPr="001572D7">
        <w:rPr>
          <w:sz w:val="22"/>
          <w:szCs w:val="22"/>
          <w:lang w:val="en-US"/>
        </w:rPr>
        <w:t>500</w:t>
      </w:r>
      <w:r>
        <w:rPr>
          <w:sz w:val="22"/>
          <w:szCs w:val="22"/>
          <w:lang w:val="en-US"/>
        </w:rPr>
        <w:t xml:space="preserve">. Go-Live einer </w:t>
      </w:r>
      <w:r w:rsidRPr="001572D7">
        <w:rPr>
          <w:sz w:val="22"/>
          <w:szCs w:val="22"/>
          <w:lang w:val="en-US"/>
        </w:rPr>
        <w:t xml:space="preserve">PAS-X MES </w:t>
      </w:r>
      <w:r>
        <w:rPr>
          <w:sz w:val="22"/>
          <w:szCs w:val="22"/>
          <w:lang w:val="en-US"/>
        </w:rPr>
        <w:t>Anlage</w:t>
      </w:r>
    </w:p>
    <w:p w14:paraId="23DC7610" w14:textId="77777777" w:rsidR="0029626F" w:rsidRPr="0029626F" w:rsidRDefault="0029626F" w:rsidP="0029626F">
      <w:pPr>
        <w:spacing w:line="276" w:lineRule="auto"/>
        <w:rPr>
          <w:sz w:val="22"/>
          <w:szCs w:val="22"/>
          <w:lang w:val="en-US"/>
        </w:rPr>
      </w:pPr>
    </w:p>
    <w:p w14:paraId="5BAA0500" w14:textId="77777777" w:rsidR="0029626F" w:rsidRPr="0029626F" w:rsidRDefault="0029626F" w:rsidP="0029626F">
      <w:pPr>
        <w:spacing w:line="276" w:lineRule="auto"/>
        <w:rPr>
          <w:b/>
          <w:bCs/>
          <w:sz w:val="22"/>
          <w:szCs w:val="22"/>
        </w:rPr>
      </w:pPr>
      <w:r w:rsidRPr="0029626F">
        <w:rPr>
          <w:b/>
          <w:bCs/>
          <w:sz w:val="22"/>
          <w:szCs w:val="22"/>
        </w:rPr>
        <w:t>Über CELL</w:t>
      </w:r>
      <w:r w:rsidRPr="0029626F">
        <w:rPr>
          <w:b/>
          <w:bCs/>
          <w:i/>
          <w:iCs/>
          <w:sz w:val="22"/>
          <w:szCs w:val="22"/>
        </w:rPr>
        <w:t>for</w:t>
      </w:r>
      <w:r w:rsidRPr="0029626F">
        <w:rPr>
          <w:b/>
          <w:bCs/>
          <w:sz w:val="22"/>
          <w:szCs w:val="22"/>
        </w:rPr>
        <w:t>CURE by SEQENS</w:t>
      </w:r>
    </w:p>
    <w:p w14:paraId="248EABE4" w14:textId="668E1394" w:rsidR="0029626F" w:rsidRPr="0029626F" w:rsidRDefault="0029626F" w:rsidP="0029626F">
      <w:pPr>
        <w:spacing w:line="276" w:lineRule="auto"/>
        <w:rPr>
          <w:sz w:val="22"/>
          <w:szCs w:val="22"/>
        </w:rPr>
      </w:pPr>
      <w:r w:rsidRPr="0029626F">
        <w:rPr>
          <w:sz w:val="22"/>
          <w:szCs w:val="22"/>
        </w:rPr>
        <w:t>CELL</w:t>
      </w:r>
      <w:r w:rsidRPr="0029626F">
        <w:rPr>
          <w:i/>
          <w:iCs/>
          <w:sz w:val="22"/>
          <w:szCs w:val="22"/>
        </w:rPr>
        <w:t>for</w:t>
      </w:r>
      <w:r w:rsidRPr="0029626F">
        <w:rPr>
          <w:sz w:val="22"/>
          <w:szCs w:val="22"/>
        </w:rPr>
        <w:t>CURE by SEQENS ist eine von den französischen Gesundheitsbehörden zugelassene CDMO, die sich der ATMP-Produktion vom Konzept bis zur Kommerzialisierung widmet. Mit fortschrittlichen Technologien, umfassenden Fähigkeiten und großen Kapazitäten bietet CELL</w:t>
      </w:r>
      <w:r w:rsidRPr="0029626F">
        <w:rPr>
          <w:i/>
          <w:iCs/>
          <w:sz w:val="22"/>
          <w:szCs w:val="22"/>
        </w:rPr>
        <w:t>for</w:t>
      </w:r>
      <w:r w:rsidRPr="0029626F">
        <w:rPr>
          <w:sz w:val="22"/>
          <w:szCs w:val="22"/>
        </w:rPr>
        <w:t>CURE by SEQENS einen nahtlosen Übergang von der frühen Entwicklungsphase zur kommerziellen Herstellung einer breiten Palette von Zelltherapien. CELL</w:t>
      </w:r>
      <w:r w:rsidRPr="0029626F">
        <w:rPr>
          <w:i/>
          <w:iCs/>
          <w:sz w:val="22"/>
          <w:szCs w:val="22"/>
        </w:rPr>
        <w:t>for</w:t>
      </w:r>
      <w:r w:rsidRPr="0029626F">
        <w:rPr>
          <w:sz w:val="22"/>
          <w:szCs w:val="22"/>
        </w:rPr>
        <w:t xml:space="preserve">CURE by SEQENS ist Teil der SEQENS-Gruppe, einem globalen Partner in den Bereichen Gesundheit, Körperpflege und spezielle Inhaltsstoffe mit 3300 Mitarbeitern, 16 Produktionsstätten und </w:t>
      </w:r>
      <w:r>
        <w:rPr>
          <w:sz w:val="22"/>
          <w:szCs w:val="22"/>
        </w:rPr>
        <w:t xml:space="preserve">neun </w:t>
      </w:r>
      <w:r w:rsidRPr="0029626F">
        <w:rPr>
          <w:sz w:val="22"/>
          <w:szCs w:val="22"/>
        </w:rPr>
        <w:t xml:space="preserve">F&amp;E-Zentren in </w:t>
      </w:r>
      <w:r>
        <w:rPr>
          <w:sz w:val="22"/>
          <w:szCs w:val="22"/>
        </w:rPr>
        <w:t xml:space="preserve">neun </w:t>
      </w:r>
      <w:r w:rsidRPr="0029626F">
        <w:rPr>
          <w:sz w:val="22"/>
          <w:szCs w:val="22"/>
        </w:rPr>
        <w:t>Ländern.</w:t>
      </w:r>
    </w:p>
    <w:p w14:paraId="4686FA81" w14:textId="77777777" w:rsidR="0029626F" w:rsidRDefault="00AE478C" w:rsidP="0029626F">
      <w:pPr>
        <w:spacing w:line="276" w:lineRule="auto"/>
        <w:jc w:val="both"/>
        <w:rPr>
          <w:rStyle w:val="Hyperlink"/>
          <w:sz w:val="22"/>
          <w:szCs w:val="22"/>
        </w:rPr>
      </w:pPr>
      <w:hyperlink r:id="rId13" w:history="1">
        <w:r w:rsidR="0029626F" w:rsidRPr="0029626F">
          <w:rPr>
            <w:rStyle w:val="Hyperlink"/>
            <w:sz w:val="22"/>
            <w:szCs w:val="22"/>
          </w:rPr>
          <w:t>cellandgene.seqens.com</w:t>
        </w:r>
      </w:hyperlink>
    </w:p>
    <w:p w14:paraId="43450A5E" w14:textId="77777777" w:rsidR="0029626F" w:rsidRPr="0029626F" w:rsidRDefault="0029626F" w:rsidP="0029626F">
      <w:pPr>
        <w:spacing w:line="276" w:lineRule="auto"/>
        <w:jc w:val="both"/>
        <w:rPr>
          <w:sz w:val="22"/>
          <w:szCs w:val="22"/>
        </w:rPr>
      </w:pPr>
    </w:p>
    <w:p w14:paraId="4AAB9A61" w14:textId="1131E03B" w:rsidR="0029626F" w:rsidRPr="0029626F" w:rsidRDefault="0029626F" w:rsidP="0029626F">
      <w:pPr>
        <w:spacing w:line="276" w:lineRule="auto"/>
        <w:jc w:val="both"/>
        <w:rPr>
          <w:b/>
          <w:bCs/>
          <w:sz w:val="22"/>
          <w:szCs w:val="22"/>
        </w:rPr>
      </w:pPr>
      <w:r>
        <w:rPr>
          <w:b/>
          <w:bCs/>
          <w:sz w:val="22"/>
          <w:szCs w:val="22"/>
        </w:rPr>
        <w:t>Kontakt</w:t>
      </w:r>
    </w:p>
    <w:p w14:paraId="344E5A19" w14:textId="77777777" w:rsidR="0029626F" w:rsidRPr="0029626F" w:rsidRDefault="00AE478C" w:rsidP="0029626F">
      <w:pPr>
        <w:spacing w:line="276" w:lineRule="auto"/>
        <w:jc w:val="both"/>
        <w:rPr>
          <w:sz w:val="22"/>
          <w:szCs w:val="22"/>
        </w:rPr>
      </w:pPr>
      <w:hyperlink r:id="rId14" w:history="1">
        <w:r w:rsidR="0029626F" w:rsidRPr="0029626F">
          <w:rPr>
            <w:rStyle w:val="Hyperlink"/>
            <w:sz w:val="22"/>
            <w:szCs w:val="22"/>
          </w:rPr>
          <w:t>press@seqens.com</w:t>
        </w:r>
      </w:hyperlink>
    </w:p>
    <w:p w14:paraId="635F4375" w14:textId="77777777" w:rsidR="00AD790A" w:rsidRDefault="00AD790A" w:rsidP="00AD790A">
      <w:pPr>
        <w:spacing w:line="276" w:lineRule="auto"/>
        <w:rPr>
          <w:sz w:val="22"/>
          <w:szCs w:val="22"/>
        </w:rPr>
      </w:pPr>
    </w:p>
    <w:p w14:paraId="3D8D5BC2" w14:textId="77777777" w:rsidR="00EE06B9" w:rsidRPr="00EE06B9" w:rsidRDefault="00EE06B9" w:rsidP="00EE06B9">
      <w:pPr>
        <w:jc w:val="both"/>
        <w:rPr>
          <w:rFonts w:cs="Arial"/>
          <w:b/>
          <w:sz w:val="22"/>
          <w:szCs w:val="22"/>
        </w:rPr>
      </w:pPr>
      <w:r w:rsidRPr="00EE06B9">
        <w:rPr>
          <w:rFonts w:cs="Arial"/>
          <w:b/>
          <w:sz w:val="22"/>
          <w:szCs w:val="22"/>
        </w:rPr>
        <w:t>Über Körber</w:t>
      </w:r>
    </w:p>
    <w:p w14:paraId="7306013B" w14:textId="74B06F11" w:rsidR="00EE06B9" w:rsidRDefault="00EE06B9" w:rsidP="00EE06B9">
      <w:pPr>
        <w:spacing w:line="280" w:lineRule="exact"/>
        <w:rPr>
          <w:rFonts w:cs="Arial"/>
          <w:sz w:val="22"/>
          <w:szCs w:val="22"/>
        </w:rPr>
      </w:pPr>
      <w:r w:rsidRPr="56C543D9">
        <w:rPr>
          <w:rFonts w:cs="Arial"/>
          <w:sz w:val="22"/>
          <w:szCs w:val="22"/>
        </w:rPr>
        <w:t xml:space="preserve">Wir sind Körber – ein internationaler Technologiekonzern mit </w:t>
      </w:r>
      <w:r w:rsidR="005E0EFF" w:rsidRPr="56C543D9">
        <w:rPr>
          <w:rFonts w:cs="Arial"/>
          <w:sz w:val="22"/>
          <w:szCs w:val="22"/>
        </w:rPr>
        <w:t xml:space="preserve">rund </w:t>
      </w:r>
      <w:r w:rsidRPr="56C543D9">
        <w:rPr>
          <w:rFonts w:cs="Arial"/>
          <w:sz w:val="22"/>
          <w:szCs w:val="22"/>
        </w:rPr>
        <w:t>1</w:t>
      </w:r>
      <w:r w:rsidR="005E0EFF" w:rsidRPr="56C543D9">
        <w:rPr>
          <w:rFonts w:cs="Arial"/>
          <w:sz w:val="22"/>
          <w:szCs w:val="22"/>
        </w:rPr>
        <w:t>3</w:t>
      </w:r>
      <w:r w:rsidRPr="56C543D9">
        <w:rPr>
          <w:rFonts w:cs="Arial"/>
          <w:sz w:val="22"/>
          <w:szCs w:val="22"/>
        </w:rPr>
        <w:t>.000 Mitarbeitern an über 100 Standorten weltweit und einem gemeinsamen Ziel: Wir setzen unternehmerisches Denken in Kundenerfolge um und gestalten den technologischen Wandel. In den Geschäftsfeldern Digital, Pharma, Supply Chain und Technologies bieten wir Produkte, Lösungen und Services, die begeistern. Auf Kundenbedürfnisse reagieren wir schnell, Ideen setzen wir nahtlos um, und mit unseren Innovationen schaffen wir Mehrwert für unsere Kunden. Dabei bauen wir verstärkt auf Ökosysteme, die die Herausforderungen von heute und morgen lösen. Die Körber AG ist die Holdinggesellschaft des Körber-Konzerns.</w:t>
      </w:r>
    </w:p>
    <w:p w14:paraId="3E385846" w14:textId="77777777" w:rsidR="00523813" w:rsidRPr="00EE06B9" w:rsidRDefault="00523813" w:rsidP="00EE06B9">
      <w:pPr>
        <w:spacing w:line="280" w:lineRule="exact"/>
        <w:rPr>
          <w:rFonts w:cs="Arial"/>
          <w:sz w:val="22"/>
          <w:szCs w:val="22"/>
        </w:rPr>
      </w:pPr>
    </w:p>
    <w:p w14:paraId="11A203DC" w14:textId="0CD025FE" w:rsidR="6400BB7A" w:rsidRDefault="6400BB7A">
      <w:pPr>
        <w:rPr>
          <w:rFonts w:eastAsia="Arial" w:cs="Arial"/>
          <w:color w:val="000000" w:themeColor="text1"/>
          <w:sz w:val="22"/>
          <w:szCs w:val="22"/>
        </w:rPr>
      </w:pPr>
      <w:r w:rsidRPr="56C543D9">
        <w:rPr>
          <w:rFonts w:eastAsia="Arial" w:cs="Arial"/>
          <w:color w:val="000000" w:themeColor="text1"/>
          <w:sz w:val="22"/>
          <w:szCs w:val="22"/>
        </w:rPr>
        <w:t xml:space="preserve">Im Körber-Geschäftsfeld Pharma liefern wir den Unterschied, indem wir unsere Kunden mit einem ganzheitlichen Ökosystemansatz unterstützen. Unser einzigartiges Portfolio an End-to-End-Lösungen reicht von Maschinen – für die aseptische Verfahrenslösungen, Inspektion, Verpackung und Materialien sowie Transportsysteme – bis hin zu Beratung, Services, Software sowie digitalen und KI-gesteuerten Lösungen, die als integrierende Layer zur Förderung der pharmazeutischen Produktion dienen. </w:t>
      </w:r>
    </w:p>
    <w:p w14:paraId="6FFC87AB" w14:textId="4F7E2218" w:rsidR="56C543D9" w:rsidRDefault="56C543D9">
      <w:pPr>
        <w:rPr>
          <w:rFonts w:eastAsia="Arial" w:cs="Arial"/>
          <w:color w:val="000000" w:themeColor="text1"/>
          <w:sz w:val="22"/>
          <w:szCs w:val="22"/>
        </w:rPr>
      </w:pPr>
    </w:p>
    <w:p w14:paraId="214FC9FE" w14:textId="75AA06DA" w:rsidR="6400BB7A" w:rsidRDefault="6400BB7A">
      <w:pPr>
        <w:rPr>
          <w:rFonts w:eastAsia="Arial" w:cs="Arial"/>
          <w:color w:val="000000" w:themeColor="text1"/>
          <w:sz w:val="22"/>
          <w:szCs w:val="22"/>
        </w:rPr>
      </w:pPr>
      <w:r w:rsidRPr="56C543D9">
        <w:rPr>
          <w:rFonts w:eastAsia="Arial" w:cs="Arial"/>
          <w:color w:val="000000" w:themeColor="text1"/>
          <w:sz w:val="22"/>
          <w:szCs w:val="22"/>
        </w:rPr>
        <w:t>Wir vereinfachen Prozesse, reduzieren Risiken und beschleunigen die Markteinführung und sorgen für eine reibungslose Zusammenarbeit entlang der gesamten pharmazeutischen und biotechnologischen Wertschöpfungskette. Mit unserer umfassenden Branchenkenntnis unterstützen wir globale Kunden dabei, neue Potenziale zu erschließen. Unsere Lösungen tragen zu einer besseren Lebensqualität für heutige und zukünftige Generationen bei.</w:t>
      </w:r>
    </w:p>
    <w:p w14:paraId="72CF3D97" w14:textId="77777777" w:rsidR="00523813" w:rsidRDefault="00523813">
      <w:pPr>
        <w:rPr>
          <w:rFonts w:eastAsia="Arial" w:cs="Arial"/>
          <w:color w:val="000000" w:themeColor="text1"/>
          <w:sz w:val="22"/>
          <w:szCs w:val="22"/>
        </w:rPr>
      </w:pPr>
    </w:p>
    <w:p w14:paraId="550E8D1B" w14:textId="77777777" w:rsidR="00DB2F7D" w:rsidRPr="00EE06B9" w:rsidRDefault="00AE478C" w:rsidP="00DB2F7D">
      <w:pPr>
        <w:rPr>
          <w:rFonts w:cs="Arial"/>
          <w:sz w:val="22"/>
          <w:szCs w:val="22"/>
        </w:rPr>
      </w:pPr>
      <w:hyperlink r:id="rId15">
        <w:r w:rsidR="00DB2F7D" w:rsidRPr="56C543D9">
          <w:rPr>
            <w:rStyle w:val="Hyperlink"/>
            <w:rFonts w:cs="Arial"/>
            <w:sz w:val="22"/>
            <w:szCs w:val="22"/>
          </w:rPr>
          <w:t>www.koerber-pharma.com</w:t>
        </w:r>
      </w:hyperlink>
    </w:p>
    <w:p w14:paraId="3A9A5B80" w14:textId="77777777" w:rsidR="00C109A2" w:rsidRPr="00EE06B9" w:rsidRDefault="00C109A2" w:rsidP="001D3146">
      <w:pPr>
        <w:spacing w:line="276" w:lineRule="auto"/>
        <w:rPr>
          <w:sz w:val="22"/>
          <w:szCs w:val="22"/>
        </w:rPr>
      </w:pPr>
    </w:p>
    <w:p w14:paraId="15112E68" w14:textId="5B70307E" w:rsidR="000966CF" w:rsidRPr="00EE06B9" w:rsidRDefault="000966CF" w:rsidP="000966CF">
      <w:pPr>
        <w:rPr>
          <w:b/>
          <w:sz w:val="22"/>
          <w:szCs w:val="22"/>
        </w:rPr>
      </w:pPr>
      <w:r w:rsidRPr="00EE06B9">
        <w:rPr>
          <w:b/>
          <w:sz w:val="22"/>
          <w:szCs w:val="22"/>
        </w:rPr>
        <w:t>Kontakt</w:t>
      </w:r>
    </w:p>
    <w:p w14:paraId="4F2DFCDC" w14:textId="77777777" w:rsidR="000966CF" w:rsidRPr="00296A56" w:rsidRDefault="000966CF" w:rsidP="000966CF">
      <w:pPr>
        <w:jc w:val="both"/>
        <w:rPr>
          <w:sz w:val="22"/>
          <w:szCs w:val="22"/>
        </w:rPr>
      </w:pPr>
      <w:r>
        <w:rPr>
          <w:sz w:val="22"/>
          <w:szCs w:val="22"/>
        </w:rPr>
        <w:t>Dirk Ebbecke</w:t>
      </w:r>
    </w:p>
    <w:p w14:paraId="38EB151C" w14:textId="5D5CA0D4" w:rsidR="00042617" w:rsidRPr="008451E3" w:rsidRDefault="002B4CC2" w:rsidP="00042617">
      <w:pPr>
        <w:jc w:val="both"/>
        <w:rPr>
          <w:sz w:val="22"/>
          <w:szCs w:val="22"/>
          <w:lang w:val="en-US"/>
        </w:rPr>
      </w:pPr>
      <w:r>
        <w:rPr>
          <w:sz w:val="22"/>
          <w:szCs w:val="22"/>
          <w:lang w:val="en-US"/>
        </w:rPr>
        <w:t>Körber Business Area Pharma</w:t>
      </w:r>
    </w:p>
    <w:p w14:paraId="2D95A4EC" w14:textId="046F31E1" w:rsidR="00042617" w:rsidRPr="004E32C2" w:rsidRDefault="00042617" w:rsidP="00042617">
      <w:pPr>
        <w:jc w:val="both"/>
        <w:rPr>
          <w:sz w:val="22"/>
          <w:szCs w:val="22"/>
          <w:lang w:val="en-US"/>
        </w:rPr>
      </w:pPr>
      <w:r w:rsidRPr="004E32C2">
        <w:rPr>
          <w:sz w:val="22"/>
          <w:szCs w:val="22"/>
          <w:lang w:val="en-US"/>
        </w:rPr>
        <w:t xml:space="preserve">Head of </w:t>
      </w:r>
      <w:r w:rsidR="004C0274">
        <w:rPr>
          <w:sz w:val="22"/>
          <w:szCs w:val="22"/>
          <w:lang w:val="en-US"/>
        </w:rPr>
        <w:t>Product Marketing</w:t>
      </w:r>
    </w:p>
    <w:p w14:paraId="3F9CEF0A" w14:textId="77777777" w:rsidR="00042617" w:rsidRPr="00EC6DC1" w:rsidRDefault="00042617" w:rsidP="00042617">
      <w:pPr>
        <w:jc w:val="both"/>
        <w:rPr>
          <w:sz w:val="22"/>
          <w:szCs w:val="22"/>
        </w:rPr>
      </w:pPr>
      <w:r w:rsidRPr="00EC6DC1">
        <w:rPr>
          <w:sz w:val="22"/>
          <w:szCs w:val="22"/>
        </w:rPr>
        <w:t>T: +49 4131 8900-0</w:t>
      </w:r>
    </w:p>
    <w:p w14:paraId="2679601A" w14:textId="50254079" w:rsidR="000966CF" w:rsidRPr="00EC6DC1" w:rsidRDefault="000966CF" w:rsidP="000966CF">
      <w:pPr>
        <w:jc w:val="both"/>
        <w:rPr>
          <w:sz w:val="22"/>
          <w:szCs w:val="22"/>
        </w:rPr>
      </w:pPr>
      <w:r w:rsidRPr="00EC6DC1">
        <w:rPr>
          <w:sz w:val="22"/>
          <w:szCs w:val="22"/>
        </w:rPr>
        <w:t>E-Mail: dirk.ebbecke@</w:t>
      </w:r>
      <w:r w:rsidR="00975C97" w:rsidRPr="00EC6DC1">
        <w:rPr>
          <w:sz w:val="22"/>
          <w:szCs w:val="22"/>
        </w:rPr>
        <w:t>koerber</w:t>
      </w:r>
      <w:r w:rsidRPr="00EC6DC1">
        <w:rPr>
          <w:sz w:val="22"/>
          <w:szCs w:val="22"/>
        </w:rPr>
        <w:t>.com</w:t>
      </w:r>
    </w:p>
    <w:p w14:paraId="7C66FB6A" w14:textId="77777777" w:rsidR="00B24FF3" w:rsidRPr="00EC6DC1" w:rsidRDefault="00B24FF3" w:rsidP="00B24FF3">
      <w:pPr>
        <w:spacing w:line="276" w:lineRule="auto"/>
        <w:jc w:val="both"/>
        <w:rPr>
          <w:sz w:val="22"/>
          <w:szCs w:val="22"/>
        </w:rPr>
      </w:pPr>
    </w:p>
    <w:p w14:paraId="15C806B3" w14:textId="77777777" w:rsidR="00131F95" w:rsidRPr="00EC6DC1" w:rsidRDefault="00131F95" w:rsidP="00407303">
      <w:pPr>
        <w:rPr>
          <w:rFonts w:cs="Arial"/>
          <w:sz w:val="22"/>
          <w:szCs w:val="22"/>
          <w:highlight w:val="yellow"/>
        </w:rPr>
      </w:pPr>
    </w:p>
    <w:sectPr w:rsidR="00131F95" w:rsidRPr="00EC6DC1" w:rsidSect="008866B7">
      <w:headerReference w:type="even" r:id="rId16"/>
      <w:headerReference w:type="default" r:id="rId17"/>
      <w:footerReference w:type="default" r:id="rId18"/>
      <w:headerReference w:type="first" r:id="rId19"/>
      <w:footerReference w:type="first" r:id="rId20"/>
      <w:type w:val="continuous"/>
      <w:pgSz w:w="11906" w:h="16838" w:code="9"/>
      <w:pgMar w:top="1817" w:right="1418" w:bottom="1701" w:left="1418" w:header="104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1FBA9" w14:textId="77777777" w:rsidR="00B4555B" w:rsidRDefault="00B4555B">
      <w:r>
        <w:separator/>
      </w:r>
    </w:p>
  </w:endnote>
  <w:endnote w:type="continuationSeparator" w:id="0">
    <w:p w14:paraId="0134F510" w14:textId="77777777" w:rsidR="00B4555B" w:rsidRDefault="00B4555B">
      <w:r>
        <w:continuationSeparator/>
      </w:r>
    </w:p>
  </w:endnote>
  <w:endnote w:type="continuationNotice" w:id="1">
    <w:p w14:paraId="043AF500" w14:textId="77777777" w:rsidR="00B4555B" w:rsidRDefault="00B455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7B848" w14:textId="346D6AA5" w:rsidR="00870B64" w:rsidRDefault="00870B64" w:rsidP="003A6817">
    <w:pPr>
      <w:pStyle w:val="Footer"/>
      <w:jc w:val="right"/>
      <w:rPr>
        <w:rStyle w:val="PageNumber"/>
      </w:rPr>
    </w:pPr>
  </w:p>
  <w:p w14:paraId="12158956" w14:textId="61B29E7B" w:rsidR="00421347" w:rsidRPr="005364DE" w:rsidRDefault="00870B64" w:rsidP="003A6817">
    <w:pPr>
      <w:pStyle w:val="Footer"/>
      <w:jc w:val="right"/>
      <w:rPr>
        <w:sz w:val="16"/>
        <w:szCs w:val="16"/>
      </w:rPr>
    </w:pPr>
    <w:r>
      <w:rPr>
        <w:rStyle w:val="PageNumber"/>
        <w:sz w:val="12"/>
        <w:szCs w:val="12"/>
      </w:rPr>
      <w:br/>
    </w:r>
    <w:r w:rsidR="00E66F39" w:rsidRPr="005364DE">
      <w:rPr>
        <w:rStyle w:val="PageNumber"/>
        <w:sz w:val="16"/>
        <w:szCs w:val="16"/>
      </w:rPr>
      <w:fldChar w:fldCharType="begin"/>
    </w:r>
    <w:r w:rsidR="003A6817" w:rsidRPr="005364DE">
      <w:rPr>
        <w:rStyle w:val="PageNumber"/>
        <w:sz w:val="16"/>
        <w:szCs w:val="16"/>
      </w:rPr>
      <w:instrText xml:space="preserve">PAGE  </w:instrText>
    </w:r>
    <w:r w:rsidR="00E66F39" w:rsidRPr="005364DE">
      <w:rPr>
        <w:rStyle w:val="PageNumber"/>
        <w:sz w:val="16"/>
        <w:szCs w:val="16"/>
      </w:rPr>
      <w:fldChar w:fldCharType="separate"/>
    </w:r>
    <w:r w:rsidR="00EC523E">
      <w:rPr>
        <w:rStyle w:val="PageNumber"/>
        <w:sz w:val="16"/>
        <w:szCs w:val="16"/>
      </w:rPr>
      <w:t>2</w:t>
    </w:r>
    <w:r w:rsidR="00E66F39" w:rsidRPr="005364DE">
      <w:rPr>
        <w:rStyle w:val="PageNumbe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6CF84" w14:textId="5BCE1960" w:rsidR="00651828" w:rsidRPr="00FE0B53" w:rsidRDefault="00131F95" w:rsidP="00131F95">
    <w:pPr>
      <w:pStyle w:val="BriefbgAdresseFusszeile"/>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D80C0" w14:textId="77777777" w:rsidR="00B4555B" w:rsidRDefault="00B4555B">
      <w:r>
        <w:separator/>
      </w:r>
    </w:p>
  </w:footnote>
  <w:footnote w:type="continuationSeparator" w:id="0">
    <w:p w14:paraId="6A3FEFA2" w14:textId="77777777" w:rsidR="00B4555B" w:rsidRDefault="00B4555B">
      <w:r>
        <w:continuationSeparator/>
      </w:r>
    </w:p>
  </w:footnote>
  <w:footnote w:type="continuationNotice" w:id="1">
    <w:p w14:paraId="6E007CD4" w14:textId="77777777" w:rsidR="00B4555B" w:rsidRDefault="00B455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EA0A9" w14:textId="77777777" w:rsidR="002108BE" w:rsidRDefault="00EB4D3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C1303" w14:textId="77777777" w:rsidR="004712E8" w:rsidRDefault="004712E8">
    <w:pPr>
      <w:pStyle w:val="Header"/>
    </w:pPr>
  </w:p>
  <w:p w14:paraId="41A266F5" w14:textId="77777777" w:rsidR="004712E8" w:rsidRDefault="004712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4CBA1" w14:textId="77777777" w:rsidR="0035566F" w:rsidRPr="00E4665C" w:rsidRDefault="008B6727" w:rsidP="00E4665C">
    <w:pPr>
      <w:pStyle w:val="Header"/>
      <w:jc w:val="right"/>
      <w:rPr>
        <w:color w:val="595959" w:themeColor="text1" w:themeTint="A6"/>
        <w:spacing w:val="20"/>
        <w:sz w:val="40"/>
        <w:szCs w:val="40"/>
      </w:rPr>
    </w:pPr>
    <w:r>
      <w:rPr>
        <w:sz w:val="40"/>
        <w:szCs w:val="40"/>
      </w:rPr>
      <w:drawing>
        <wp:anchor distT="0" distB="0" distL="114300" distR="114300" simplePos="0" relativeHeight="251658240" behindDoc="1" locked="0" layoutInCell="1" allowOverlap="1" wp14:anchorId="18085A9E" wp14:editId="13892AA1">
          <wp:simplePos x="0" y="0"/>
          <wp:positionH relativeFrom="column">
            <wp:posOffset>-105382</wp:posOffset>
          </wp:positionH>
          <wp:positionV relativeFrom="paragraph">
            <wp:posOffset>-157342</wp:posOffset>
          </wp:positionV>
          <wp:extent cx="1049020" cy="617220"/>
          <wp:effectExtent l="0" t="0" r="0" b="0"/>
          <wp:wrapTight wrapText="bothSides">
            <wp:wrapPolygon edited="0">
              <wp:start x="3138" y="0"/>
              <wp:lineTo x="0" y="4000"/>
              <wp:lineTo x="0" y="17333"/>
              <wp:lineTo x="3138" y="20667"/>
              <wp:lineTo x="18044" y="20667"/>
              <wp:lineTo x="21182" y="17333"/>
              <wp:lineTo x="21182" y="4000"/>
              <wp:lineTo x="18044" y="0"/>
              <wp:lineTo x="3138" y="0"/>
            </wp:wrapPolygon>
          </wp:wrapTight>
          <wp:docPr id="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erber_Logo_RGB_Black.png"/>
                  <pic:cNvPicPr/>
                </pic:nvPicPr>
                <pic:blipFill>
                  <a:blip r:embed="rId1">
                    <a:extLst>
                      <a:ext uri="{28A0092B-C50C-407E-A947-70E740481C1C}">
                        <a14:useLocalDpi xmlns:a14="http://schemas.microsoft.com/office/drawing/2010/main" val="0"/>
                      </a:ext>
                    </a:extLst>
                  </a:blip>
                  <a:stretch>
                    <a:fillRect/>
                  </a:stretch>
                </pic:blipFill>
                <pic:spPr>
                  <a:xfrm>
                    <a:off x="0" y="0"/>
                    <a:ext cx="1049020" cy="617220"/>
                  </a:xfrm>
                  <a:prstGeom prst="rect">
                    <a:avLst/>
                  </a:prstGeom>
                </pic:spPr>
              </pic:pic>
            </a:graphicData>
          </a:graphic>
          <wp14:sizeRelH relativeFrom="margin">
            <wp14:pctWidth>0</wp14:pctWidth>
          </wp14:sizeRelH>
          <wp14:sizeRelV relativeFrom="margin">
            <wp14:pctHeight>0</wp14:pctHeight>
          </wp14:sizeRelV>
        </wp:anchor>
      </w:drawing>
    </w:r>
    <w:r>
      <w:rPr>
        <w:sz w:val="40"/>
        <w:szCs w:val="40"/>
      </w:rPr>
      <w:t>Pressemitteilung</w:t>
    </w:r>
  </w:p>
  <w:p w14:paraId="6BB4A3AC" w14:textId="77777777" w:rsidR="00131F95" w:rsidRDefault="00131F9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EC0889"/>
    <w:multiLevelType w:val="hybridMultilevel"/>
    <w:tmpl w:val="B7106ED8"/>
    <w:lvl w:ilvl="0" w:tplc="844E126A">
      <w:numFmt w:val="bullet"/>
      <w:lvlText w:val="-"/>
      <w:lvlJc w:val="left"/>
      <w:pPr>
        <w:ind w:left="720" w:hanging="360"/>
      </w:pPr>
      <w:rPr>
        <w:rFonts w:ascii="Arial" w:eastAsia="Time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ACB0605"/>
    <w:multiLevelType w:val="hybridMultilevel"/>
    <w:tmpl w:val="EBD4CFCC"/>
    <w:lvl w:ilvl="0" w:tplc="BEBCADD2">
      <w:numFmt w:val="bullet"/>
      <w:lvlText w:val="-"/>
      <w:lvlJc w:val="left"/>
      <w:pPr>
        <w:ind w:left="720" w:hanging="360"/>
      </w:pPr>
      <w:rPr>
        <w:rFonts w:ascii="Arial" w:eastAsia="Time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19287654">
    <w:abstractNumId w:val="0"/>
  </w:num>
  <w:num w:numId="2" w16cid:durableId="10297991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de-DE" w:vendorID="64" w:dllVersion="0" w:nlCheck="1" w:checkStyle="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727"/>
    <w:rsid w:val="000119B9"/>
    <w:rsid w:val="000123DC"/>
    <w:rsid w:val="000127C0"/>
    <w:rsid w:val="00021B25"/>
    <w:rsid w:val="00025A5E"/>
    <w:rsid w:val="00042617"/>
    <w:rsid w:val="00044325"/>
    <w:rsid w:val="000501EE"/>
    <w:rsid w:val="0007065A"/>
    <w:rsid w:val="00070F97"/>
    <w:rsid w:val="00086C24"/>
    <w:rsid w:val="00092EDF"/>
    <w:rsid w:val="000939CC"/>
    <w:rsid w:val="000966CF"/>
    <w:rsid w:val="00096DF2"/>
    <w:rsid w:val="00097702"/>
    <w:rsid w:val="000A5CE4"/>
    <w:rsid w:val="000B585B"/>
    <w:rsid w:val="000C3C7E"/>
    <w:rsid w:val="000D382C"/>
    <w:rsid w:val="000E1C24"/>
    <w:rsid w:val="000E30B3"/>
    <w:rsid w:val="000E3F60"/>
    <w:rsid w:val="000E6AD9"/>
    <w:rsid w:val="000E71D7"/>
    <w:rsid w:val="000F4BA0"/>
    <w:rsid w:val="000F581D"/>
    <w:rsid w:val="000F7A79"/>
    <w:rsid w:val="001112F6"/>
    <w:rsid w:val="001163E3"/>
    <w:rsid w:val="00122F2B"/>
    <w:rsid w:val="001269B9"/>
    <w:rsid w:val="00131F95"/>
    <w:rsid w:val="00132D80"/>
    <w:rsid w:val="001559CE"/>
    <w:rsid w:val="00163984"/>
    <w:rsid w:val="00173D63"/>
    <w:rsid w:val="001760B4"/>
    <w:rsid w:val="00176EC2"/>
    <w:rsid w:val="00194CF7"/>
    <w:rsid w:val="001B1F3F"/>
    <w:rsid w:val="001C7865"/>
    <w:rsid w:val="001D05DB"/>
    <w:rsid w:val="001D2AB3"/>
    <w:rsid w:val="001D3146"/>
    <w:rsid w:val="001D5D61"/>
    <w:rsid w:val="001E1D20"/>
    <w:rsid w:val="001E4822"/>
    <w:rsid w:val="001F0F79"/>
    <w:rsid w:val="001F1761"/>
    <w:rsid w:val="001F4E85"/>
    <w:rsid w:val="001F53EC"/>
    <w:rsid w:val="00200D4E"/>
    <w:rsid w:val="002050BE"/>
    <w:rsid w:val="002067B8"/>
    <w:rsid w:val="002108BE"/>
    <w:rsid w:val="0021175A"/>
    <w:rsid w:val="00215434"/>
    <w:rsid w:val="002228D1"/>
    <w:rsid w:val="00224B07"/>
    <w:rsid w:val="00225B4C"/>
    <w:rsid w:val="00225B87"/>
    <w:rsid w:val="00237D0E"/>
    <w:rsid w:val="00241DD5"/>
    <w:rsid w:val="0024425A"/>
    <w:rsid w:val="002518D3"/>
    <w:rsid w:val="00251B0F"/>
    <w:rsid w:val="00252B89"/>
    <w:rsid w:val="00253260"/>
    <w:rsid w:val="00290D5F"/>
    <w:rsid w:val="00291323"/>
    <w:rsid w:val="0029183F"/>
    <w:rsid w:val="0029626F"/>
    <w:rsid w:val="00296A56"/>
    <w:rsid w:val="002A14D0"/>
    <w:rsid w:val="002B4B13"/>
    <w:rsid w:val="002B4CC2"/>
    <w:rsid w:val="002C4B8E"/>
    <w:rsid w:val="002C5AE1"/>
    <w:rsid w:val="002E3589"/>
    <w:rsid w:val="002F13AF"/>
    <w:rsid w:val="002F61AB"/>
    <w:rsid w:val="0030275A"/>
    <w:rsid w:val="00306AF1"/>
    <w:rsid w:val="00312B79"/>
    <w:rsid w:val="00317242"/>
    <w:rsid w:val="00327E59"/>
    <w:rsid w:val="00331FA6"/>
    <w:rsid w:val="003323B1"/>
    <w:rsid w:val="00333730"/>
    <w:rsid w:val="0033640F"/>
    <w:rsid w:val="003409C6"/>
    <w:rsid w:val="00354E69"/>
    <w:rsid w:val="0035566F"/>
    <w:rsid w:val="003558D4"/>
    <w:rsid w:val="003631C6"/>
    <w:rsid w:val="00366D77"/>
    <w:rsid w:val="00367F03"/>
    <w:rsid w:val="003750D6"/>
    <w:rsid w:val="00377648"/>
    <w:rsid w:val="003928F0"/>
    <w:rsid w:val="00393CA5"/>
    <w:rsid w:val="00394622"/>
    <w:rsid w:val="003A6817"/>
    <w:rsid w:val="003B3CAC"/>
    <w:rsid w:val="003C4423"/>
    <w:rsid w:val="003C54C0"/>
    <w:rsid w:val="003C7CB8"/>
    <w:rsid w:val="003D15E7"/>
    <w:rsid w:val="003D23C8"/>
    <w:rsid w:val="003E07BD"/>
    <w:rsid w:val="003E0EFC"/>
    <w:rsid w:val="003E3EDA"/>
    <w:rsid w:val="003F562C"/>
    <w:rsid w:val="004004D6"/>
    <w:rsid w:val="00401BCF"/>
    <w:rsid w:val="00407303"/>
    <w:rsid w:val="00417F37"/>
    <w:rsid w:val="00421347"/>
    <w:rsid w:val="00425977"/>
    <w:rsid w:val="0042701E"/>
    <w:rsid w:val="00427B7F"/>
    <w:rsid w:val="0043131F"/>
    <w:rsid w:val="00451A97"/>
    <w:rsid w:val="004712E8"/>
    <w:rsid w:val="0047257A"/>
    <w:rsid w:val="004800AD"/>
    <w:rsid w:val="00482E53"/>
    <w:rsid w:val="00490CEF"/>
    <w:rsid w:val="0049230D"/>
    <w:rsid w:val="004938FC"/>
    <w:rsid w:val="00496BDD"/>
    <w:rsid w:val="004A27E3"/>
    <w:rsid w:val="004A77DA"/>
    <w:rsid w:val="004B11F5"/>
    <w:rsid w:val="004B1C0F"/>
    <w:rsid w:val="004B708E"/>
    <w:rsid w:val="004C0274"/>
    <w:rsid w:val="004C0577"/>
    <w:rsid w:val="004E5E04"/>
    <w:rsid w:val="004E6AF8"/>
    <w:rsid w:val="004F28F0"/>
    <w:rsid w:val="0051667E"/>
    <w:rsid w:val="00522C08"/>
    <w:rsid w:val="00523813"/>
    <w:rsid w:val="005364DE"/>
    <w:rsid w:val="00536EA9"/>
    <w:rsid w:val="005378C7"/>
    <w:rsid w:val="00542DE0"/>
    <w:rsid w:val="005441F5"/>
    <w:rsid w:val="005634D5"/>
    <w:rsid w:val="00564ADD"/>
    <w:rsid w:val="00566418"/>
    <w:rsid w:val="00591616"/>
    <w:rsid w:val="005A4F2A"/>
    <w:rsid w:val="005C20AB"/>
    <w:rsid w:val="005D1326"/>
    <w:rsid w:val="005D27A1"/>
    <w:rsid w:val="005E0EFF"/>
    <w:rsid w:val="005F29F1"/>
    <w:rsid w:val="00611AEC"/>
    <w:rsid w:val="00615216"/>
    <w:rsid w:val="00616B33"/>
    <w:rsid w:val="0062598D"/>
    <w:rsid w:val="00651240"/>
    <w:rsid w:val="00651828"/>
    <w:rsid w:val="00671E96"/>
    <w:rsid w:val="00676101"/>
    <w:rsid w:val="00680C92"/>
    <w:rsid w:val="00681C86"/>
    <w:rsid w:val="00686616"/>
    <w:rsid w:val="006915A5"/>
    <w:rsid w:val="006B01CD"/>
    <w:rsid w:val="006D4C7E"/>
    <w:rsid w:val="006D5FA4"/>
    <w:rsid w:val="006D7B47"/>
    <w:rsid w:val="00706AE5"/>
    <w:rsid w:val="00723605"/>
    <w:rsid w:val="00727EAC"/>
    <w:rsid w:val="00731EF3"/>
    <w:rsid w:val="00743CF5"/>
    <w:rsid w:val="007441AC"/>
    <w:rsid w:val="00744701"/>
    <w:rsid w:val="007461B8"/>
    <w:rsid w:val="0075037D"/>
    <w:rsid w:val="00752275"/>
    <w:rsid w:val="007538FA"/>
    <w:rsid w:val="00756165"/>
    <w:rsid w:val="00761ADB"/>
    <w:rsid w:val="00770ECF"/>
    <w:rsid w:val="00784F56"/>
    <w:rsid w:val="007A2055"/>
    <w:rsid w:val="007A72E9"/>
    <w:rsid w:val="007B4C3C"/>
    <w:rsid w:val="007C610B"/>
    <w:rsid w:val="007E3285"/>
    <w:rsid w:val="00804B35"/>
    <w:rsid w:val="00827B9B"/>
    <w:rsid w:val="0083354B"/>
    <w:rsid w:val="008568F9"/>
    <w:rsid w:val="00865D48"/>
    <w:rsid w:val="0087091C"/>
    <w:rsid w:val="00870B64"/>
    <w:rsid w:val="0087269C"/>
    <w:rsid w:val="0087432E"/>
    <w:rsid w:val="0088350C"/>
    <w:rsid w:val="008866B7"/>
    <w:rsid w:val="00891C0A"/>
    <w:rsid w:val="008940E1"/>
    <w:rsid w:val="008A11A6"/>
    <w:rsid w:val="008A50F6"/>
    <w:rsid w:val="008A5B4B"/>
    <w:rsid w:val="008B0A9B"/>
    <w:rsid w:val="008B5F55"/>
    <w:rsid w:val="008B6727"/>
    <w:rsid w:val="008C4915"/>
    <w:rsid w:val="008C7D73"/>
    <w:rsid w:val="008D19EE"/>
    <w:rsid w:val="008D3C5F"/>
    <w:rsid w:val="008F4AFF"/>
    <w:rsid w:val="009055E1"/>
    <w:rsid w:val="00923B23"/>
    <w:rsid w:val="009267CD"/>
    <w:rsid w:val="00932502"/>
    <w:rsid w:val="0093268B"/>
    <w:rsid w:val="009367B5"/>
    <w:rsid w:val="00946F6F"/>
    <w:rsid w:val="00947913"/>
    <w:rsid w:val="009564D8"/>
    <w:rsid w:val="0096257B"/>
    <w:rsid w:val="00965B96"/>
    <w:rsid w:val="009710CE"/>
    <w:rsid w:val="00975C97"/>
    <w:rsid w:val="00986B7A"/>
    <w:rsid w:val="009A5B9F"/>
    <w:rsid w:val="009B440E"/>
    <w:rsid w:val="009C5B3D"/>
    <w:rsid w:val="009D1D1B"/>
    <w:rsid w:val="009D4A6F"/>
    <w:rsid w:val="009E097B"/>
    <w:rsid w:val="009F1350"/>
    <w:rsid w:val="00A01132"/>
    <w:rsid w:val="00A01DE1"/>
    <w:rsid w:val="00A249C1"/>
    <w:rsid w:val="00A264E4"/>
    <w:rsid w:val="00A31A4C"/>
    <w:rsid w:val="00A33313"/>
    <w:rsid w:val="00A3621D"/>
    <w:rsid w:val="00A41C4A"/>
    <w:rsid w:val="00A448C2"/>
    <w:rsid w:val="00A5457A"/>
    <w:rsid w:val="00A603D7"/>
    <w:rsid w:val="00A64345"/>
    <w:rsid w:val="00A6436A"/>
    <w:rsid w:val="00A665AA"/>
    <w:rsid w:val="00A72B66"/>
    <w:rsid w:val="00A74CE1"/>
    <w:rsid w:val="00A77DB9"/>
    <w:rsid w:val="00A840E6"/>
    <w:rsid w:val="00A858AA"/>
    <w:rsid w:val="00A93709"/>
    <w:rsid w:val="00A93C8F"/>
    <w:rsid w:val="00AA2C5E"/>
    <w:rsid w:val="00AC17CE"/>
    <w:rsid w:val="00AD243F"/>
    <w:rsid w:val="00AD3F83"/>
    <w:rsid w:val="00AD70F8"/>
    <w:rsid w:val="00AD790A"/>
    <w:rsid w:val="00AE165A"/>
    <w:rsid w:val="00AE478C"/>
    <w:rsid w:val="00AE5A61"/>
    <w:rsid w:val="00AE7A09"/>
    <w:rsid w:val="00AF4BC8"/>
    <w:rsid w:val="00AF599D"/>
    <w:rsid w:val="00B1218E"/>
    <w:rsid w:val="00B24FF3"/>
    <w:rsid w:val="00B27821"/>
    <w:rsid w:val="00B3027B"/>
    <w:rsid w:val="00B350E8"/>
    <w:rsid w:val="00B42276"/>
    <w:rsid w:val="00B4555B"/>
    <w:rsid w:val="00B57771"/>
    <w:rsid w:val="00B65E81"/>
    <w:rsid w:val="00B72819"/>
    <w:rsid w:val="00B7770B"/>
    <w:rsid w:val="00B9277C"/>
    <w:rsid w:val="00B97215"/>
    <w:rsid w:val="00BB3C58"/>
    <w:rsid w:val="00BC2B8E"/>
    <w:rsid w:val="00BF76D7"/>
    <w:rsid w:val="00C01284"/>
    <w:rsid w:val="00C05BB3"/>
    <w:rsid w:val="00C06E7E"/>
    <w:rsid w:val="00C109A2"/>
    <w:rsid w:val="00C35759"/>
    <w:rsid w:val="00C37FAD"/>
    <w:rsid w:val="00C51928"/>
    <w:rsid w:val="00C777CC"/>
    <w:rsid w:val="00C914C7"/>
    <w:rsid w:val="00CA1E09"/>
    <w:rsid w:val="00CB4F2F"/>
    <w:rsid w:val="00CB738C"/>
    <w:rsid w:val="00CC771F"/>
    <w:rsid w:val="00CF6837"/>
    <w:rsid w:val="00D10C7D"/>
    <w:rsid w:val="00D13525"/>
    <w:rsid w:val="00D34A8A"/>
    <w:rsid w:val="00D46B62"/>
    <w:rsid w:val="00D54427"/>
    <w:rsid w:val="00D55EB7"/>
    <w:rsid w:val="00D663B2"/>
    <w:rsid w:val="00D72498"/>
    <w:rsid w:val="00D724EA"/>
    <w:rsid w:val="00D75923"/>
    <w:rsid w:val="00D80237"/>
    <w:rsid w:val="00D83A39"/>
    <w:rsid w:val="00D87136"/>
    <w:rsid w:val="00D919F2"/>
    <w:rsid w:val="00D926A7"/>
    <w:rsid w:val="00DA4C69"/>
    <w:rsid w:val="00DB2F7D"/>
    <w:rsid w:val="00DD05B6"/>
    <w:rsid w:val="00DF1E5C"/>
    <w:rsid w:val="00DF59D4"/>
    <w:rsid w:val="00E00BAC"/>
    <w:rsid w:val="00E12C7D"/>
    <w:rsid w:val="00E15B50"/>
    <w:rsid w:val="00E20A4D"/>
    <w:rsid w:val="00E22DEF"/>
    <w:rsid w:val="00E23540"/>
    <w:rsid w:val="00E25ECC"/>
    <w:rsid w:val="00E3568A"/>
    <w:rsid w:val="00E40C17"/>
    <w:rsid w:val="00E4665C"/>
    <w:rsid w:val="00E6379F"/>
    <w:rsid w:val="00E66F39"/>
    <w:rsid w:val="00E718F3"/>
    <w:rsid w:val="00E72DCD"/>
    <w:rsid w:val="00E8033D"/>
    <w:rsid w:val="00E8197A"/>
    <w:rsid w:val="00E86ED1"/>
    <w:rsid w:val="00EA51C4"/>
    <w:rsid w:val="00EA7FA1"/>
    <w:rsid w:val="00EB3483"/>
    <w:rsid w:val="00EB4D3B"/>
    <w:rsid w:val="00EC523E"/>
    <w:rsid w:val="00EC6DC1"/>
    <w:rsid w:val="00ED020D"/>
    <w:rsid w:val="00ED08E7"/>
    <w:rsid w:val="00ED4BEB"/>
    <w:rsid w:val="00EE06B9"/>
    <w:rsid w:val="00EF1F3E"/>
    <w:rsid w:val="00F10216"/>
    <w:rsid w:val="00F133C9"/>
    <w:rsid w:val="00F138D9"/>
    <w:rsid w:val="00F148C9"/>
    <w:rsid w:val="00F42CD6"/>
    <w:rsid w:val="00F433AD"/>
    <w:rsid w:val="00F45111"/>
    <w:rsid w:val="00F56B4D"/>
    <w:rsid w:val="00F57A49"/>
    <w:rsid w:val="00F62118"/>
    <w:rsid w:val="00F63A6B"/>
    <w:rsid w:val="00F83283"/>
    <w:rsid w:val="00F86E16"/>
    <w:rsid w:val="00F908C6"/>
    <w:rsid w:val="00FA1E2C"/>
    <w:rsid w:val="00FA574D"/>
    <w:rsid w:val="00FB27E5"/>
    <w:rsid w:val="00FC0A81"/>
    <w:rsid w:val="00FD1568"/>
    <w:rsid w:val="00FD6634"/>
    <w:rsid w:val="00FD7776"/>
    <w:rsid w:val="00FE018C"/>
    <w:rsid w:val="00FE0B53"/>
    <w:rsid w:val="00FE65D2"/>
    <w:rsid w:val="00FF15E6"/>
    <w:rsid w:val="00FF5291"/>
    <w:rsid w:val="10C29BE1"/>
    <w:rsid w:val="25E07CDA"/>
    <w:rsid w:val="377941CB"/>
    <w:rsid w:val="4B983AE9"/>
    <w:rsid w:val="56C543D9"/>
    <w:rsid w:val="6198B6B5"/>
    <w:rsid w:val="6400BB7A"/>
    <w:rsid w:val="67A34E70"/>
    <w:rsid w:val="693A1E02"/>
    <w:rsid w:val="7658396F"/>
    <w:rsid w:val="7CB317C0"/>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F48010"/>
  <w15:docId w15:val="{2302256F-D33F-4CEB-97F4-9674AE79D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626F"/>
    <w:rPr>
      <w:rFonts w:ascii="Arial" w:eastAsia="Times" w:hAnsi="Arial"/>
      <w:sz w:val="24"/>
    </w:rPr>
  </w:style>
  <w:style w:type="paragraph" w:styleId="Heading2">
    <w:name w:val="heading 2"/>
    <w:basedOn w:val="Normal"/>
    <w:next w:val="Normal"/>
    <w:link w:val="Heading2Char"/>
    <w:qFormat/>
    <w:rsid w:val="0035566F"/>
    <w:pPr>
      <w:keepNext/>
      <w:spacing w:line="280" w:lineRule="exact"/>
      <w:outlineLvl w:val="1"/>
    </w:pPr>
    <w:rPr>
      <w:rFonts w:eastAsia="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94CF7"/>
    <w:pPr>
      <w:tabs>
        <w:tab w:val="center" w:pos="4536"/>
        <w:tab w:val="right" w:pos="9072"/>
      </w:tabs>
    </w:pPr>
    <w:rPr>
      <w:rFonts w:eastAsia="Times New Roman" w:cs="Arial"/>
      <w:noProof/>
      <w:sz w:val="22"/>
      <w:szCs w:val="24"/>
    </w:rPr>
  </w:style>
  <w:style w:type="paragraph" w:styleId="Footer">
    <w:name w:val="footer"/>
    <w:basedOn w:val="Normal"/>
    <w:link w:val="FooterChar"/>
    <w:semiHidden/>
    <w:rsid w:val="00194CF7"/>
    <w:pPr>
      <w:tabs>
        <w:tab w:val="center" w:pos="4536"/>
        <w:tab w:val="right" w:pos="9072"/>
      </w:tabs>
    </w:pPr>
    <w:rPr>
      <w:rFonts w:eastAsia="Times New Roman" w:cs="Arial"/>
      <w:noProof/>
      <w:sz w:val="22"/>
      <w:szCs w:val="24"/>
    </w:rPr>
  </w:style>
  <w:style w:type="character" w:styleId="PageNumber">
    <w:name w:val="page number"/>
    <w:basedOn w:val="DefaultParagraphFont"/>
    <w:semiHidden/>
    <w:rsid w:val="00194CF7"/>
  </w:style>
  <w:style w:type="character" w:customStyle="1" w:styleId="postbody">
    <w:name w:val="postbody"/>
    <w:basedOn w:val="DefaultParagraphFont"/>
    <w:rsid w:val="00194CF7"/>
  </w:style>
  <w:style w:type="character" w:customStyle="1" w:styleId="HeaderChar">
    <w:name w:val="Header Char"/>
    <w:basedOn w:val="DefaultParagraphFont"/>
    <w:link w:val="Header"/>
    <w:rsid w:val="00AA2C5E"/>
    <w:rPr>
      <w:rFonts w:ascii="Arial" w:hAnsi="Arial" w:cs="Arial"/>
      <w:noProof/>
      <w:sz w:val="22"/>
      <w:szCs w:val="24"/>
    </w:rPr>
  </w:style>
  <w:style w:type="paragraph" w:styleId="BalloonText">
    <w:name w:val="Balloon Text"/>
    <w:basedOn w:val="Normal"/>
    <w:link w:val="BalloonTextChar"/>
    <w:uiPriority w:val="99"/>
    <w:semiHidden/>
    <w:unhideWhenUsed/>
    <w:rsid w:val="00FB27E5"/>
    <w:rPr>
      <w:rFonts w:ascii="Tahoma" w:eastAsia="Times New Roman" w:hAnsi="Tahoma" w:cs="Tahoma"/>
      <w:noProof/>
      <w:sz w:val="16"/>
      <w:szCs w:val="16"/>
    </w:rPr>
  </w:style>
  <w:style w:type="character" w:customStyle="1" w:styleId="BalloonTextChar">
    <w:name w:val="Balloon Text Char"/>
    <w:basedOn w:val="DefaultParagraphFont"/>
    <w:link w:val="BalloonText"/>
    <w:uiPriority w:val="99"/>
    <w:semiHidden/>
    <w:rsid w:val="00FB27E5"/>
    <w:rPr>
      <w:rFonts w:ascii="Tahoma" w:hAnsi="Tahoma" w:cs="Tahoma"/>
      <w:noProof/>
      <w:sz w:val="16"/>
      <w:szCs w:val="16"/>
    </w:rPr>
  </w:style>
  <w:style w:type="paragraph" w:customStyle="1" w:styleId="BriefbgAdresseFusszeile">
    <w:name w:val="Briefbg_Adresse Fusszeile"/>
    <w:basedOn w:val="Normal"/>
    <w:qFormat/>
    <w:rsid w:val="00224B07"/>
    <w:pPr>
      <w:spacing w:line="168" w:lineRule="exact"/>
    </w:pPr>
    <w:rPr>
      <w:rFonts w:eastAsia="Times New Roman" w:cs="Arial"/>
      <w:bCs/>
      <w:noProof/>
      <w:sz w:val="14"/>
      <w:szCs w:val="24"/>
    </w:rPr>
  </w:style>
  <w:style w:type="paragraph" w:styleId="DocumentMap">
    <w:name w:val="Document Map"/>
    <w:basedOn w:val="Normal"/>
    <w:link w:val="DocumentMapChar"/>
    <w:uiPriority w:val="99"/>
    <w:semiHidden/>
    <w:unhideWhenUsed/>
    <w:rsid w:val="00D34A8A"/>
    <w:rPr>
      <w:rFonts w:ascii="Tahoma" w:eastAsia="Times New Roman" w:hAnsi="Tahoma" w:cs="Tahoma"/>
      <w:noProof/>
      <w:sz w:val="16"/>
      <w:szCs w:val="16"/>
    </w:rPr>
  </w:style>
  <w:style w:type="character" w:customStyle="1" w:styleId="DocumentMapChar">
    <w:name w:val="Document Map Char"/>
    <w:basedOn w:val="DefaultParagraphFont"/>
    <w:link w:val="DocumentMap"/>
    <w:uiPriority w:val="99"/>
    <w:semiHidden/>
    <w:rsid w:val="00D34A8A"/>
    <w:rPr>
      <w:rFonts w:ascii="Tahoma" w:hAnsi="Tahoma" w:cs="Tahoma"/>
      <w:noProof/>
      <w:sz w:val="16"/>
      <w:szCs w:val="16"/>
    </w:rPr>
  </w:style>
  <w:style w:type="character" w:styleId="Strong">
    <w:name w:val="Strong"/>
    <w:basedOn w:val="DefaultParagraphFont"/>
    <w:uiPriority w:val="22"/>
    <w:qFormat/>
    <w:rsid w:val="00CB738C"/>
    <w:rPr>
      <w:b/>
      <w:bCs/>
    </w:rPr>
  </w:style>
  <w:style w:type="character" w:customStyle="1" w:styleId="Heading2Char">
    <w:name w:val="Heading 2 Char"/>
    <w:basedOn w:val="DefaultParagraphFont"/>
    <w:link w:val="Heading2"/>
    <w:rsid w:val="0035566F"/>
    <w:rPr>
      <w:rFonts w:ascii="Arial" w:hAnsi="Arial"/>
      <w:sz w:val="22"/>
    </w:rPr>
  </w:style>
  <w:style w:type="paragraph" w:styleId="NormalWeb">
    <w:name w:val="Normal (Web)"/>
    <w:basedOn w:val="Normal"/>
    <w:uiPriority w:val="99"/>
    <w:unhideWhenUsed/>
    <w:rsid w:val="004712E8"/>
    <w:pPr>
      <w:spacing w:before="100" w:beforeAutospacing="1" w:after="240"/>
    </w:pPr>
    <w:rPr>
      <w:rFonts w:ascii="Times New Roman" w:eastAsia="Times New Roman" w:hAnsi="Times New Roman"/>
      <w:szCs w:val="24"/>
    </w:rPr>
  </w:style>
  <w:style w:type="character" w:customStyle="1" w:styleId="FooterChar">
    <w:name w:val="Footer Char"/>
    <w:basedOn w:val="DefaultParagraphFont"/>
    <w:link w:val="Footer"/>
    <w:semiHidden/>
    <w:rsid w:val="003A6817"/>
    <w:rPr>
      <w:rFonts w:ascii="Arial" w:hAnsi="Arial" w:cs="Arial"/>
      <w:noProof/>
      <w:sz w:val="22"/>
      <w:szCs w:val="24"/>
    </w:rPr>
  </w:style>
  <w:style w:type="paragraph" w:styleId="ListParagraph">
    <w:name w:val="List Paragraph"/>
    <w:basedOn w:val="Normal"/>
    <w:uiPriority w:val="72"/>
    <w:qFormat/>
    <w:rsid w:val="0093268B"/>
    <w:pPr>
      <w:ind w:left="720"/>
      <w:contextualSpacing/>
    </w:pPr>
  </w:style>
  <w:style w:type="character" w:styleId="Hyperlink">
    <w:name w:val="Hyperlink"/>
    <w:basedOn w:val="DefaultParagraphFont"/>
    <w:uiPriority w:val="99"/>
    <w:unhideWhenUsed/>
    <w:rsid w:val="0093268B"/>
    <w:rPr>
      <w:color w:val="0000FF" w:themeColor="hyperlink"/>
      <w:u w:val="single"/>
    </w:rPr>
  </w:style>
  <w:style w:type="character" w:styleId="FollowedHyperlink">
    <w:name w:val="FollowedHyperlink"/>
    <w:basedOn w:val="DefaultParagraphFont"/>
    <w:uiPriority w:val="99"/>
    <w:semiHidden/>
    <w:unhideWhenUsed/>
    <w:rsid w:val="000123DC"/>
    <w:rPr>
      <w:color w:val="800080" w:themeColor="followedHyperlink"/>
      <w:u w:val="single"/>
    </w:rPr>
  </w:style>
  <w:style w:type="paragraph" w:styleId="Revision">
    <w:name w:val="Revision"/>
    <w:hidden/>
    <w:uiPriority w:val="71"/>
    <w:semiHidden/>
    <w:rsid w:val="00B65E81"/>
    <w:rPr>
      <w:rFonts w:ascii="Arial" w:eastAsia="Times" w:hAnsi="Arial"/>
      <w:sz w:val="24"/>
    </w:rPr>
  </w:style>
  <w:style w:type="character" w:styleId="CommentReference">
    <w:name w:val="annotation reference"/>
    <w:basedOn w:val="DefaultParagraphFont"/>
    <w:uiPriority w:val="99"/>
    <w:semiHidden/>
    <w:unhideWhenUsed/>
    <w:rsid w:val="00B65E81"/>
    <w:rPr>
      <w:sz w:val="16"/>
      <w:szCs w:val="16"/>
    </w:rPr>
  </w:style>
  <w:style w:type="paragraph" w:styleId="CommentText">
    <w:name w:val="annotation text"/>
    <w:basedOn w:val="Normal"/>
    <w:link w:val="CommentTextChar"/>
    <w:uiPriority w:val="99"/>
    <w:unhideWhenUsed/>
    <w:rsid w:val="00B65E81"/>
    <w:rPr>
      <w:sz w:val="20"/>
    </w:rPr>
  </w:style>
  <w:style w:type="character" w:customStyle="1" w:styleId="CommentTextChar">
    <w:name w:val="Comment Text Char"/>
    <w:basedOn w:val="DefaultParagraphFont"/>
    <w:link w:val="CommentText"/>
    <w:uiPriority w:val="99"/>
    <w:rsid w:val="00B65E81"/>
    <w:rPr>
      <w:rFonts w:ascii="Arial" w:eastAsia="Times" w:hAnsi="Arial"/>
    </w:rPr>
  </w:style>
  <w:style w:type="paragraph" w:styleId="CommentSubject">
    <w:name w:val="annotation subject"/>
    <w:basedOn w:val="CommentText"/>
    <w:next w:val="CommentText"/>
    <w:link w:val="CommentSubjectChar"/>
    <w:uiPriority w:val="99"/>
    <w:semiHidden/>
    <w:unhideWhenUsed/>
    <w:rsid w:val="00B65E81"/>
    <w:rPr>
      <w:b/>
      <w:bCs/>
    </w:rPr>
  </w:style>
  <w:style w:type="character" w:customStyle="1" w:styleId="CommentSubjectChar">
    <w:name w:val="Comment Subject Char"/>
    <w:basedOn w:val="CommentTextChar"/>
    <w:link w:val="CommentSubject"/>
    <w:uiPriority w:val="99"/>
    <w:semiHidden/>
    <w:rsid w:val="00B65E81"/>
    <w:rPr>
      <w:rFonts w:ascii="Arial" w:eastAsia="Times" w:hAnsi="Arial"/>
      <w:b/>
      <w:bCs/>
    </w:rPr>
  </w:style>
  <w:style w:type="character" w:styleId="UnresolvedMention">
    <w:name w:val="Unresolved Mention"/>
    <w:basedOn w:val="DefaultParagraphFont"/>
    <w:uiPriority w:val="99"/>
    <w:semiHidden/>
    <w:unhideWhenUsed/>
    <w:rsid w:val="002962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392146">
      <w:bodyDiv w:val="1"/>
      <w:marLeft w:val="0"/>
      <w:marRight w:val="0"/>
      <w:marTop w:val="0"/>
      <w:marBottom w:val="0"/>
      <w:divBdr>
        <w:top w:val="none" w:sz="0" w:space="0" w:color="auto"/>
        <w:left w:val="none" w:sz="0" w:space="0" w:color="auto"/>
        <w:bottom w:val="none" w:sz="0" w:space="0" w:color="auto"/>
        <w:right w:val="none" w:sz="0" w:space="0" w:color="auto"/>
      </w:divBdr>
    </w:div>
    <w:div w:id="273438669">
      <w:bodyDiv w:val="1"/>
      <w:marLeft w:val="0"/>
      <w:marRight w:val="0"/>
      <w:marTop w:val="0"/>
      <w:marBottom w:val="0"/>
      <w:divBdr>
        <w:top w:val="none" w:sz="0" w:space="0" w:color="auto"/>
        <w:left w:val="none" w:sz="0" w:space="0" w:color="auto"/>
        <w:bottom w:val="none" w:sz="0" w:space="0" w:color="auto"/>
        <w:right w:val="none" w:sz="0" w:space="0" w:color="auto"/>
      </w:divBdr>
    </w:div>
    <w:div w:id="275648057">
      <w:bodyDiv w:val="1"/>
      <w:marLeft w:val="0"/>
      <w:marRight w:val="0"/>
      <w:marTop w:val="0"/>
      <w:marBottom w:val="0"/>
      <w:divBdr>
        <w:top w:val="none" w:sz="0" w:space="0" w:color="auto"/>
        <w:left w:val="none" w:sz="0" w:space="0" w:color="auto"/>
        <w:bottom w:val="none" w:sz="0" w:space="0" w:color="auto"/>
        <w:right w:val="none" w:sz="0" w:space="0" w:color="auto"/>
      </w:divBdr>
    </w:div>
    <w:div w:id="633024582">
      <w:bodyDiv w:val="1"/>
      <w:marLeft w:val="0"/>
      <w:marRight w:val="0"/>
      <w:marTop w:val="0"/>
      <w:marBottom w:val="0"/>
      <w:divBdr>
        <w:top w:val="none" w:sz="0" w:space="0" w:color="auto"/>
        <w:left w:val="none" w:sz="0" w:space="0" w:color="auto"/>
        <w:bottom w:val="none" w:sz="0" w:space="0" w:color="auto"/>
        <w:right w:val="none" w:sz="0" w:space="0" w:color="auto"/>
      </w:divBdr>
    </w:div>
    <w:div w:id="1166700725">
      <w:bodyDiv w:val="1"/>
      <w:marLeft w:val="0"/>
      <w:marRight w:val="0"/>
      <w:marTop w:val="0"/>
      <w:marBottom w:val="0"/>
      <w:divBdr>
        <w:top w:val="none" w:sz="0" w:space="0" w:color="auto"/>
        <w:left w:val="none" w:sz="0" w:space="0" w:color="auto"/>
        <w:bottom w:val="none" w:sz="0" w:space="0" w:color="auto"/>
        <w:right w:val="none" w:sz="0" w:space="0" w:color="auto"/>
      </w:divBdr>
    </w:div>
    <w:div w:id="1318000330">
      <w:bodyDiv w:val="1"/>
      <w:marLeft w:val="0"/>
      <w:marRight w:val="0"/>
      <w:marTop w:val="0"/>
      <w:marBottom w:val="0"/>
      <w:divBdr>
        <w:top w:val="none" w:sz="0" w:space="0" w:color="auto"/>
        <w:left w:val="none" w:sz="0" w:space="0" w:color="auto"/>
        <w:bottom w:val="none" w:sz="0" w:space="0" w:color="auto"/>
        <w:right w:val="none" w:sz="0" w:space="0" w:color="auto"/>
      </w:divBdr>
    </w:div>
    <w:div w:id="1354187266">
      <w:bodyDiv w:val="1"/>
      <w:marLeft w:val="0"/>
      <w:marRight w:val="0"/>
      <w:marTop w:val="0"/>
      <w:marBottom w:val="0"/>
      <w:divBdr>
        <w:top w:val="none" w:sz="0" w:space="0" w:color="auto"/>
        <w:left w:val="none" w:sz="0" w:space="0" w:color="auto"/>
        <w:bottom w:val="none" w:sz="0" w:space="0" w:color="auto"/>
        <w:right w:val="none" w:sz="0" w:space="0" w:color="auto"/>
      </w:divBdr>
    </w:div>
    <w:div w:id="1644188876">
      <w:bodyDiv w:val="1"/>
      <w:marLeft w:val="0"/>
      <w:marRight w:val="0"/>
      <w:marTop w:val="0"/>
      <w:marBottom w:val="0"/>
      <w:divBdr>
        <w:top w:val="none" w:sz="0" w:space="0" w:color="auto"/>
        <w:left w:val="none" w:sz="0" w:space="0" w:color="auto"/>
        <w:bottom w:val="none" w:sz="0" w:space="0" w:color="auto"/>
        <w:right w:val="none" w:sz="0" w:space="0" w:color="auto"/>
      </w:divBdr>
    </w:div>
    <w:div w:id="1887831401">
      <w:bodyDiv w:val="1"/>
      <w:marLeft w:val="0"/>
      <w:marRight w:val="0"/>
      <w:marTop w:val="0"/>
      <w:marBottom w:val="0"/>
      <w:divBdr>
        <w:top w:val="none" w:sz="0" w:space="0" w:color="auto"/>
        <w:left w:val="none" w:sz="0" w:space="0" w:color="auto"/>
        <w:bottom w:val="none" w:sz="0" w:space="0" w:color="auto"/>
        <w:right w:val="none" w:sz="0" w:space="0" w:color="auto"/>
      </w:divBdr>
    </w:div>
    <w:div w:id="20889896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ellandgene.seqens.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koerber-pharma.com/"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ess@seqens.com" TargetMode="Externa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H:\KAG_Communications\01_K&#246;rber%20AG\02_Communications\30_CD_CI_Vorgaben\30_Vorlagen\2019-02_Vorlage_Pressemitteilung%20K&#246;rber%20AG_D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954f1ac-9df6-4778-98b8-7ad4fbf743aa">
      <Terms xmlns="http://schemas.microsoft.com/office/infopath/2007/PartnerControls"/>
    </lcf76f155ced4ddcb4097134ff3c332f>
    <TaxCatchAll xmlns="f11d121d-f202-4ea4-901f-18147d4da41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79EB05A29BC5D84FBCC519E9FC9CF8D1" ma:contentTypeVersion="38" ma:contentTypeDescription="Ein neues Dokument erstellen." ma:contentTypeScope="" ma:versionID="0552c760ffb077369bf8b988a67da106">
  <xsd:schema xmlns:xsd="http://www.w3.org/2001/XMLSchema" xmlns:xs="http://www.w3.org/2001/XMLSchema" xmlns:p="http://schemas.microsoft.com/office/2006/metadata/properties" xmlns:ns2="4b9e2702-fb0c-41ba-93a0-12a061892c49" xmlns:ns3="f11d121d-f202-4ea4-901f-18147d4da41e" xmlns:ns4="3954f1ac-9df6-4778-98b8-7ad4fbf743aa" targetNamespace="http://schemas.microsoft.com/office/2006/metadata/properties" ma:root="true" ma:fieldsID="0bdaf154695f5260b1b40985dad7a400" ns2:_="" ns3:_="" ns4:_="">
    <xsd:import namespace="4b9e2702-fb0c-41ba-93a0-12a061892c49"/>
    <xsd:import namespace="f11d121d-f202-4ea4-901f-18147d4da41e"/>
    <xsd:import namespace="3954f1ac-9df6-4778-98b8-7ad4fbf743a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3:SharedWithUsers" minOccurs="0"/>
                <xsd:element ref="ns3:SharedWithDetails" minOccurs="0"/>
                <xsd:element ref="ns4:lcf76f155ced4ddcb4097134ff3c332f" minOccurs="0"/>
                <xsd:element ref="ns3:TaxCatchAll"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MediaServiceObjectDetectorVersions" minOccurs="0"/>
                <xsd:element ref="ns4:MediaServiceSearchPropertie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9e2702-fb0c-41ba-93a0-12a061892c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1d121d-f202-4ea4-901f-18147d4da41e"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17" nillable="true" ma:displayName="Taxonomy Catch All Column" ma:hidden="true" ma:list="{bbfcb2a7-71fd-4477-97c7-c21edcdf5335}" ma:internalName="TaxCatchAll" ma:showField="CatchAllData" ma:web="f11d121d-f202-4ea4-901f-18147d4da4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954f1ac-9df6-4778-98b8-7ad4fbf743aa" elementFormDefault="qualified">
    <xsd:import namespace="http://schemas.microsoft.com/office/2006/documentManagement/types"/>
    <xsd:import namespace="http://schemas.microsoft.com/office/infopath/2007/PartnerControls"/>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4d643c87-8475-4bb8-9a4c-73f24531931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E270A3-1C15-4FA8-8ECE-11376095BD3B}">
  <ds:schemaRefs>
    <ds:schemaRef ds:uri="http://schemas.openxmlformats.org/officeDocument/2006/bibliography"/>
  </ds:schemaRefs>
</ds:datastoreItem>
</file>

<file path=customXml/itemProps2.xml><?xml version="1.0" encoding="utf-8"?>
<ds:datastoreItem xmlns:ds="http://schemas.openxmlformats.org/officeDocument/2006/customXml" ds:itemID="{F2CFD063-102B-44F2-B9CF-CC08243B2AB9}">
  <ds:schemaRefs>
    <ds:schemaRef ds:uri="http://schemas.microsoft.com/office/2006/metadata/properties"/>
    <ds:schemaRef ds:uri="http://schemas.microsoft.com/office/infopath/2007/PartnerControls"/>
    <ds:schemaRef ds:uri="3954f1ac-9df6-4778-98b8-7ad4fbf743aa"/>
    <ds:schemaRef ds:uri="f11d121d-f202-4ea4-901f-18147d4da41e"/>
  </ds:schemaRefs>
</ds:datastoreItem>
</file>

<file path=customXml/itemProps3.xml><?xml version="1.0" encoding="utf-8"?>
<ds:datastoreItem xmlns:ds="http://schemas.openxmlformats.org/officeDocument/2006/customXml" ds:itemID="{E90E3548-3C63-491A-88C1-A145C80948FD}">
  <ds:schemaRefs>
    <ds:schemaRef ds:uri="http://schemas.microsoft.com/sharepoint/v3/contenttype/forms"/>
  </ds:schemaRefs>
</ds:datastoreItem>
</file>

<file path=customXml/itemProps4.xml><?xml version="1.0" encoding="utf-8"?>
<ds:datastoreItem xmlns:ds="http://schemas.openxmlformats.org/officeDocument/2006/customXml" ds:itemID="{CF18A4E7-DD33-48B1-B405-A1407B470B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9e2702-fb0c-41ba-93a0-12a061892c49"/>
    <ds:schemaRef ds:uri="f11d121d-f202-4ea4-901f-18147d4da41e"/>
    <ds:schemaRef ds:uri="3954f1ac-9df6-4778-98b8-7ad4fbf743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2019-02_Vorlage_Pressemitteilung Körber AG_DE</Template>
  <TotalTime>0</TotalTime>
  <Pages>3</Pages>
  <Words>677</Words>
  <Characters>4737</Characters>
  <Application>Microsoft Office Word</Application>
  <DocSecurity>0</DocSecurity>
  <Lines>39</Lines>
  <Paragraphs>10</Paragraphs>
  <ScaleCrop>false</ScaleCrop>
  <Company>Hauni Maschinenbau AG</Company>
  <LinksUpToDate>false</LinksUpToDate>
  <CharactersWithSpaces>5404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Betreffzeile: Arial Bold 10 pt</dc:title>
  <dc:subject/>
  <dc:creator>Lena Wouters</dc:creator>
  <cp:keywords/>
  <cp:lastModifiedBy>Jan Endler</cp:lastModifiedBy>
  <cp:revision>38</cp:revision>
  <cp:lastPrinted>2020-08-22T12:40:00Z</cp:lastPrinted>
  <dcterms:created xsi:type="dcterms:W3CDTF">2020-09-28T06:11:00Z</dcterms:created>
  <dcterms:modified xsi:type="dcterms:W3CDTF">2025-05-14T06:37:00Z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0x01010079EB05A29BC5D84FBCC519E9FC9CF8D1</vt:lpwstr>
  </property>
  <property fmtid="{D5CDD505-2E9C-101B-9397-08002B2CF9AE}" pid="3" name="MediaServiceImageTags">
    <vt:lpwstr/>
  </property>
</Properties>
</file>